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4B5AF5" w14:textId="31B71C53" w:rsidR="001C2816" w:rsidRDefault="00221922" w:rsidP="00AC383B">
      <w:pPr>
        <w:pStyle w:val="Pagedecouverture"/>
      </w:pPr>
      <w:r>
        <w:pict w14:anchorId="0E87FD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38B7919B-0EE9-4333-82A8-0D24E06748FD" style="width:455.25pt;height:399pt">
            <v:imagedata r:id="rId11" o:title=""/>
          </v:shape>
        </w:pict>
      </w:r>
    </w:p>
    <w:p w14:paraId="7EED5652" w14:textId="77777777" w:rsidR="00F728BD" w:rsidRPr="00E23D00" w:rsidRDefault="00F728BD">
      <w:pPr>
        <w:sectPr w:rsidR="00F728BD" w:rsidRPr="00E23D00" w:rsidSect="00AC383B">
          <w:headerReference w:type="even" r:id="rId12"/>
          <w:headerReference w:type="default" r:id="rId13"/>
          <w:footerReference w:type="even" r:id="rId14"/>
          <w:footerReference w:type="default" r:id="rId15"/>
          <w:headerReference w:type="first" r:id="rId16"/>
          <w:footerReference w:type="first" r:id="rId17"/>
          <w:pgSz w:w="11907" w:h="16839"/>
          <w:pgMar w:top="1134" w:right="1417" w:bottom="1134" w:left="1417" w:header="709" w:footer="709" w:gutter="0"/>
          <w:pgNumType w:start="0"/>
          <w:cols w:space="720"/>
          <w:docGrid w:linePitch="360"/>
        </w:sectPr>
      </w:pPr>
    </w:p>
    <w:p w14:paraId="72158897" w14:textId="664BF110" w:rsidR="00F728BD" w:rsidRPr="00E23D00" w:rsidRDefault="00AC383B" w:rsidP="00AC383B">
      <w:pPr>
        <w:pStyle w:val="Typedudocument"/>
      </w:pPr>
      <w:bookmarkStart w:id="0" w:name="_Hlk135745669"/>
      <w:r w:rsidRPr="00AC383B">
        <w:lastRenderedPageBreak/>
        <w:t>COMMISSION IMPLEMENTING DECISION</w:t>
      </w:r>
    </w:p>
    <w:p w14:paraId="3F25EBFC" w14:textId="1D0457AD" w:rsidR="00F728BD" w:rsidRPr="00E23D00" w:rsidRDefault="00AC383B" w:rsidP="00AC383B">
      <w:pPr>
        <w:pStyle w:val="Datedadoption"/>
      </w:pPr>
      <w:r w:rsidRPr="00AC383B">
        <w:t xml:space="preserve">of </w:t>
      </w:r>
      <w:r w:rsidRPr="00AC383B">
        <w:rPr>
          <w:rStyle w:val="Marker2"/>
        </w:rPr>
        <w:t>XXX</w:t>
      </w:r>
    </w:p>
    <w:p w14:paraId="2CDB0860" w14:textId="371FC9AF" w:rsidR="00F728BD" w:rsidRPr="00E23D00" w:rsidRDefault="00AC383B" w:rsidP="00AC383B">
      <w:pPr>
        <w:pStyle w:val="Titreobjet"/>
      </w:pPr>
      <w:r w:rsidRPr="00AC383B">
        <w:t>concerning the extension of the action taken by the Polish Office for Registration of Medicinal Products, Medical Devices and Biocidal Products permitting the making available on the market and use of the biocidal product Biobor JF in accordance with Regulation (EU) No 528/2012 of the European Parliament and of the Council</w:t>
      </w:r>
    </w:p>
    <w:bookmarkEnd w:id="0"/>
    <w:p w14:paraId="69DD1EF1" w14:textId="7A8BD6E9" w:rsidR="003E09CD" w:rsidRPr="00AE28CD" w:rsidRDefault="00AC383B" w:rsidP="00AC383B">
      <w:pPr>
        <w:pStyle w:val="Languesfaisantfoi"/>
      </w:pPr>
      <w:r w:rsidRPr="00AC383B">
        <w:t>(Only the Polish text is authentic)</w:t>
      </w:r>
    </w:p>
    <w:p w14:paraId="62F8FC1C" w14:textId="77777777" w:rsidR="00F728BD" w:rsidRPr="00E23D00" w:rsidRDefault="00F728BD" w:rsidP="00102DAB">
      <w:pPr>
        <w:pStyle w:val="Institutionquiagit"/>
      </w:pPr>
      <w:r w:rsidRPr="00E23D00">
        <w:t>THE EUROPEAN COMMISSION,</w:t>
      </w:r>
    </w:p>
    <w:p w14:paraId="04ECA1FB" w14:textId="77777777" w:rsidR="00F728BD" w:rsidRPr="00E23D00" w:rsidRDefault="00F728BD" w:rsidP="00102DAB">
      <w:r w:rsidRPr="00E23D00">
        <w:rPr>
          <w:color w:val="000000"/>
        </w:rPr>
        <w:t>Having regard to the Treaty on the Functioning of the European Union</w:t>
      </w:r>
      <w:r w:rsidRPr="00E23D00">
        <w:t>,</w:t>
      </w:r>
    </w:p>
    <w:p w14:paraId="050ECB91" w14:textId="6F99D6EB" w:rsidR="00F728BD" w:rsidRDefault="00F728BD" w:rsidP="00102DAB">
      <w:r w:rsidRPr="00E23D00">
        <w:t xml:space="preserve">Having regard to </w:t>
      </w:r>
      <w:r w:rsidR="002148FB" w:rsidRPr="00F253E2">
        <w:rPr>
          <w:szCs w:val="24"/>
        </w:rPr>
        <w:t xml:space="preserve">Regulation (EU) No </w:t>
      </w:r>
      <w:r w:rsidR="002148FB" w:rsidRPr="00DB7A8B">
        <w:rPr>
          <w:szCs w:val="24"/>
        </w:rPr>
        <w:t>528/2012</w:t>
      </w:r>
      <w:r w:rsidR="002148FB" w:rsidRPr="00F253E2">
        <w:rPr>
          <w:szCs w:val="24"/>
        </w:rPr>
        <w:t xml:space="preserve"> of the European Parliament and of the Council of 22 May 2012 concerning the making available on the market and use of biocidal products</w:t>
      </w:r>
      <w:r w:rsidR="002148FB" w:rsidRPr="00F253E2">
        <w:rPr>
          <w:rStyle w:val="FootnoteReference"/>
          <w:szCs w:val="24"/>
        </w:rPr>
        <w:footnoteReference w:id="2"/>
      </w:r>
      <w:r w:rsidR="002148FB" w:rsidRPr="00F253E2">
        <w:rPr>
          <w:szCs w:val="24"/>
        </w:rPr>
        <w:t xml:space="preserve">, and in particular Article </w:t>
      </w:r>
      <w:r w:rsidR="002148FB" w:rsidRPr="00DB7A8B">
        <w:rPr>
          <w:szCs w:val="24"/>
        </w:rPr>
        <w:t>55(1)</w:t>
      </w:r>
      <w:r w:rsidR="00267CCC" w:rsidRPr="00DB7A8B">
        <w:rPr>
          <w:szCs w:val="24"/>
        </w:rPr>
        <w:t>, third</w:t>
      </w:r>
      <w:r w:rsidR="00267CCC">
        <w:rPr>
          <w:szCs w:val="24"/>
        </w:rPr>
        <w:t xml:space="preserve"> subparagraph,</w:t>
      </w:r>
      <w:r w:rsidR="002148FB" w:rsidRPr="00F253E2">
        <w:rPr>
          <w:szCs w:val="24"/>
        </w:rPr>
        <w:t xml:space="preserve"> thereof</w:t>
      </w:r>
      <w:r w:rsidRPr="00E23D00">
        <w:t>,</w:t>
      </w:r>
      <w:r w:rsidR="002D5B24">
        <w:t xml:space="preserve"> </w:t>
      </w:r>
    </w:p>
    <w:p w14:paraId="23A421B1" w14:textId="77777777" w:rsidR="00F728BD" w:rsidRPr="00E23D00" w:rsidRDefault="00F728BD" w:rsidP="00102DAB">
      <w:r w:rsidRPr="00E23D00">
        <w:t>Whereas:</w:t>
      </w:r>
    </w:p>
    <w:p w14:paraId="6AAD36A0" w14:textId="5751454C" w:rsidR="00C60A9C" w:rsidRPr="00C60A9C" w:rsidRDefault="00BF3661" w:rsidP="00EC7794">
      <w:pPr>
        <w:pStyle w:val="Considrant"/>
        <w:numPr>
          <w:ilvl w:val="0"/>
          <w:numId w:val="5"/>
        </w:numPr>
      </w:pPr>
      <w:r w:rsidRPr="00F253E2">
        <w:t xml:space="preserve">On </w:t>
      </w:r>
      <w:r w:rsidR="00EB6CBB">
        <w:t>23 October</w:t>
      </w:r>
      <w:r w:rsidR="00BC45FD">
        <w:t xml:space="preserve"> </w:t>
      </w:r>
      <w:r w:rsidR="00881B6B">
        <w:t>202</w:t>
      </w:r>
      <w:r w:rsidR="002741E0">
        <w:t>5</w:t>
      </w:r>
      <w:r w:rsidR="00E25F01">
        <w:t>,</w:t>
      </w:r>
      <w:r w:rsidRPr="00F253E2">
        <w:t xml:space="preserve"> </w:t>
      </w:r>
      <w:r w:rsidR="00F11BFF">
        <w:t xml:space="preserve">the </w:t>
      </w:r>
      <w:r w:rsidR="00DF2167">
        <w:rPr>
          <w:rFonts w:eastAsia="Times New Roman"/>
          <w:szCs w:val="20"/>
        </w:rPr>
        <w:t xml:space="preserve">Polish </w:t>
      </w:r>
      <w:r w:rsidR="00DF2167" w:rsidRPr="008B32C5">
        <w:rPr>
          <w:rFonts w:eastAsia="Times New Roman"/>
          <w:szCs w:val="20"/>
        </w:rPr>
        <w:t>Office for Registration of Medicinal Products, Medical Devices and Biocidal Products</w:t>
      </w:r>
      <w:r w:rsidR="00DF2167" w:rsidRPr="00F253E2">
        <w:t xml:space="preserve"> </w:t>
      </w:r>
      <w:r w:rsidR="002A60F4" w:rsidRPr="00F253E2">
        <w:t xml:space="preserve">(‘the </w:t>
      </w:r>
      <w:r w:rsidR="00DF2167">
        <w:t>Polish</w:t>
      </w:r>
      <w:r w:rsidR="00494B22">
        <w:t xml:space="preserve"> </w:t>
      </w:r>
      <w:r w:rsidR="002A60F4" w:rsidRPr="00F253E2">
        <w:t>competent</w:t>
      </w:r>
      <w:r w:rsidR="002A60F4">
        <w:t xml:space="preserve"> </w:t>
      </w:r>
      <w:r w:rsidR="002A60F4" w:rsidRPr="00F253E2">
        <w:t>authority</w:t>
      </w:r>
      <w:r w:rsidR="00494B22">
        <w:t>’</w:t>
      </w:r>
      <w:r w:rsidR="002A60F4" w:rsidRPr="00F253E2">
        <w:t xml:space="preserve">) </w:t>
      </w:r>
      <w:r w:rsidRPr="00F253E2">
        <w:t>adopted</w:t>
      </w:r>
      <w:r w:rsidR="00EC05F0" w:rsidRPr="00EC05F0">
        <w:t xml:space="preserve"> </w:t>
      </w:r>
      <w:r w:rsidR="00EC05F0" w:rsidRPr="00F253E2">
        <w:t>a decision</w:t>
      </w:r>
      <w:r w:rsidRPr="00F253E2">
        <w:t xml:space="preserve"> in accordance with Article 55(1)</w:t>
      </w:r>
      <w:r w:rsidR="007D6CCF">
        <w:t>, first subparagraph,</w:t>
      </w:r>
      <w:r w:rsidRPr="00F253E2">
        <w:t xml:space="preserve"> of Regulation (EU</w:t>
      </w:r>
      <w:r w:rsidRPr="00A532E2">
        <w:t xml:space="preserve">) No 528/2012 </w:t>
      </w:r>
      <w:r w:rsidR="00EC05F0">
        <w:t>to permit</w:t>
      </w:r>
      <w:r w:rsidR="00A02729">
        <w:t xml:space="preserve"> </w:t>
      </w:r>
      <w:r w:rsidR="001C50E2">
        <w:t xml:space="preserve">until </w:t>
      </w:r>
      <w:r w:rsidR="00EB6CBB">
        <w:t>21 April 2026</w:t>
      </w:r>
      <w:r w:rsidR="00494B22">
        <w:t>,</w:t>
      </w:r>
      <w:r w:rsidR="00A532E2" w:rsidRPr="00A532E2">
        <w:t xml:space="preserve"> </w:t>
      </w:r>
      <w:r w:rsidRPr="00A532E2">
        <w:t>the making available o</w:t>
      </w:r>
      <w:r w:rsidRPr="00F253E2">
        <w:t xml:space="preserve">n the market </w:t>
      </w:r>
      <w:r w:rsidRPr="00DE1F22">
        <w:t>and use</w:t>
      </w:r>
      <w:r w:rsidR="00EC7794" w:rsidRPr="00DE1F22">
        <w:t xml:space="preserve"> by</w:t>
      </w:r>
      <w:r w:rsidRPr="00DE1F22">
        <w:t xml:space="preserve"> </w:t>
      </w:r>
      <w:r w:rsidR="00EC7794" w:rsidRPr="00DE1F22">
        <w:t>professional users</w:t>
      </w:r>
      <w:r w:rsidR="00EC7794" w:rsidRPr="00EC7794">
        <w:t xml:space="preserve"> </w:t>
      </w:r>
      <w:r w:rsidRPr="00F253E2">
        <w:t>of the biocidal product</w:t>
      </w:r>
      <w:r>
        <w:t xml:space="preserve"> B</w:t>
      </w:r>
      <w:r w:rsidR="002D5B24">
        <w:t>iobor</w:t>
      </w:r>
      <w:r>
        <w:t xml:space="preserve"> JF</w:t>
      </w:r>
      <w:r w:rsidR="008B5BD2">
        <w:t xml:space="preserve"> for</w:t>
      </w:r>
      <w:r w:rsidR="00C60A9C">
        <w:t xml:space="preserve"> </w:t>
      </w:r>
      <w:r w:rsidR="00023CFC" w:rsidRPr="003A64C3">
        <w:t>the</w:t>
      </w:r>
      <w:r w:rsidR="00023CFC">
        <w:t xml:space="preserve"> </w:t>
      </w:r>
      <w:r w:rsidR="00C60A9C">
        <w:t xml:space="preserve">antimicrobial treatment of </w:t>
      </w:r>
      <w:r w:rsidR="007407C6">
        <w:t xml:space="preserve">aircraft </w:t>
      </w:r>
      <w:r w:rsidR="00C60A9C">
        <w:t xml:space="preserve">fuel tanks and fuel systems </w:t>
      </w:r>
      <w:r w:rsidR="00B9261E" w:rsidRPr="00ED4560">
        <w:t>(‘the action’)</w:t>
      </w:r>
      <w:r w:rsidR="00F728BD" w:rsidRPr="00ED4560">
        <w:t>.</w:t>
      </w:r>
      <w:r w:rsidR="00C60A9C">
        <w:t xml:space="preserve"> The </w:t>
      </w:r>
      <w:r w:rsidR="00A02729">
        <w:t>Polish</w:t>
      </w:r>
      <w:r w:rsidR="00494B22">
        <w:t xml:space="preserve"> </w:t>
      </w:r>
      <w:r w:rsidR="00C60A9C">
        <w:t xml:space="preserve">competent </w:t>
      </w:r>
      <w:r w:rsidR="00C60A9C" w:rsidRPr="00C60A9C">
        <w:t xml:space="preserve">authority informed the Commission and the competent authorities of the other Member States </w:t>
      </w:r>
      <w:r w:rsidR="002A0811">
        <w:t>of</w:t>
      </w:r>
      <w:r w:rsidR="002A0811" w:rsidRPr="00C60A9C">
        <w:t xml:space="preserve"> </w:t>
      </w:r>
      <w:r w:rsidR="00C60A9C" w:rsidRPr="00C60A9C">
        <w:t>the action and the justification for it</w:t>
      </w:r>
      <w:r w:rsidR="00DD2ADC">
        <w:t>,</w:t>
      </w:r>
      <w:r w:rsidR="00C60A9C" w:rsidRPr="00C60A9C">
        <w:t xml:space="preserve"> in accordance with Article 55(1)</w:t>
      </w:r>
      <w:r w:rsidR="007D6CCF">
        <w:t>,</w:t>
      </w:r>
      <w:r w:rsidR="00C60A9C" w:rsidRPr="00C60A9C">
        <w:t xml:space="preserve"> </w:t>
      </w:r>
      <w:r w:rsidR="007D6CCF" w:rsidRPr="00DB7A8B">
        <w:t>second</w:t>
      </w:r>
      <w:r w:rsidR="007D6CCF" w:rsidRPr="00C60A9C">
        <w:t xml:space="preserve"> subparagraph</w:t>
      </w:r>
      <w:r w:rsidR="007D6CCF">
        <w:t>,</w:t>
      </w:r>
      <w:r w:rsidR="007D6CCF" w:rsidRPr="00C60A9C">
        <w:t xml:space="preserve"> </w:t>
      </w:r>
      <w:r w:rsidR="00C60A9C" w:rsidRPr="00C60A9C">
        <w:t>of that Regulation.</w:t>
      </w:r>
    </w:p>
    <w:p w14:paraId="1215823A" w14:textId="63DC5929" w:rsidR="00F728BD" w:rsidRDefault="00E5491D" w:rsidP="00965C0D">
      <w:pPr>
        <w:pStyle w:val="Considrant"/>
      </w:pPr>
      <w:r>
        <w:t xml:space="preserve">According to the information provided by </w:t>
      </w:r>
      <w:r w:rsidR="002A0811">
        <w:t xml:space="preserve">the </w:t>
      </w:r>
      <w:r w:rsidR="00A02729">
        <w:t xml:space="preserve">Polish </w:t>
      </w:r>
      <w:r w:rsidR="00F11BFF">
        <w:t xml:space="preserve">competent </w:t>
      </w:r>
      <w:r w:rsidR="00F11BFF" w:rsidRPr="00C60A9C">
        <w:t>authority</w:t>
      </w:r>
      <w:r>
        <w:t xml:space="preserve">, the action was necessary in order to </w:t>
      </w:r>
      <w:r w:rsidR="00F440EB">
        <w:t xml:space="preserve">protect public health. </w:t>
      </w:r>
      <w:r w:rsidR="002D5B24" w:rsidRPr="002D5B24">
        <w:t xml:space="preserve">Microbiological contamination </w:t>
      </w:r>
      <w:r w:rsidR="00881B6B">
        <w:t xml:space="preserve">of aircraft fuel tanks and fuel systems </w:t>
      </w:r>
      <w:r w:rsidR="002D5B24" w:rsidRPr="002D5B24">
        <w:t xml:space="preserve">is caused by micro-organisms, such as bacteria, mould and yeast, that grow in </w:t>
      </w:r>
      <w:r w:rsidR="00C972F2">
        <w:t>stagnant</w:t>
      </w:r>
      <w:r w:rsidR="00C972F2" w:rsidRPr="002D5B24">
        <w:t xml:space="preserve"> </w:t>
      </w:r>
      <w:r w:rsidR="002D5B24" w:rsidRPr="002D5B24">
        <w:t>water and feed off hydrocarbons in the fuel at the fuel-to-water interface</w:t>
      </w:r>
      <w:r w:rsidR="002D5B24">
        <w:t xml:space="preserve">. </w:t>
      </w:r>
      <w:r w:rsidR="00BF0C3E">
        <w:t>If l</w:t>
      </w:r>
      <w:r w:rsidR="002C5D09">
        <w:t>eft untreated</w:t>
      </w:r>
      <w:r w:rsidR="002D5B24">
        <w:t>, t</w:t>
      </w:r>
      <w:r w:rsidR="00F440EB" w:rsidRPr="00F440EB">
        <w:t xml:space="preserve">he microbiological contamination of aircraft fuel tanks and fuel systems can lead to malfunctions of the </w:t>
      </w:r>
      <w:r w:rsidR="00BF10CE">
        <w:t xml:space="preserve">aircraft </w:t>
      </w:r>
      <w:r w:rsidR="00F440EB" w:rsidRPr="00F440EB">
        <w:t xml:space="preserve">engine and </w:t>
      </w:r>
      <w:r w:rsidR="00F440EB" w:rsidRPr="00DF7AB6">
        <w:t xml:space="preserve">endanger </w:t>
      </w:r>
      <w:r w:rsidR="003A1CF1" w:rsidRPr="00DF7AB6">
        <w:t xml:space="preserve">the </w:t>
      </w:r>
      <w:r w:rsidR="002C3880" w:rsidRPr="00DF7AB6">
        <w:t>aircraft</w:t>
      </w:r>
      <w:r w:rsidR="00F440EB" w:rsidRPr="00DF7AB6">
        <w:t xml:space="preserve"> airworthi</w:t>
      </w:r>
      <w:r w:rsidR="00F440EB" w:rsidRPr="00F440EB">
        <w:t xml:space="preserve">ness, </w:t>
      </w:r>
      <w:r w:rsidR="00CD2E03">
        <w:t>thereby</w:t>
      </w:r>
      <w:r w:rsidR="00CD2E03" w:rsidRPr="00F440EB">
        <w:t xml:space="preserve"> </w:t>
      </w:r>
      <w:r w:rsidR="00F440EB" w:rsidRPr="00F440EB">
        <w:t>endangering the safety of passengers and crew.</w:t>
      </w:r>
      <w:r w:rsidR="00881B6B">
        <w:t xml:space="preserve"> </w:t>
      </w:r>
      <w:r w:rsidR="00881B6B" w:rsidRPr="00881B6B">
        <w:t xml:space="preserve">The </w:t>
      </w:r>
      <w:r w:rsidR="00683091">
        <w:t xml:space="preserve">detection, </w:t>
      </w:r>
      <w:r w:rsidR="00881B6B" w:rsidRPr="00881B6B">
        <w:t xml:space="preserve">prevention </w:t>
      </w:r>
      <w:r w:rsidR="00683091">
        <w:t xml:space="preserve">and treatment of </w:t>
      </w:r>
      <w:r w:rsidR="00881B6B" w:rsidRPr="00881B6B">
        <w:t>microbiological contamination</w:t>
      </w:r>
      <w:r w:rsidR="00E460FE">
        <w:t xml:space="preserve"> </w:t>
      </w:r>
      <w:r w:rsidR="00881B6B" w:rsidRPr="00881B6B">
        <w:t>are therefore crucial in order</w:t>
      </w:r>
      <w:r w:rsidR="00E460FE">
        <w:t xml:space="preserve"> </w:t>
      </w:r>
      <w:r w:rsidR="00881B6B" w:rsidRPr="00881B6B">
        <w:t xml:space="preserve">to avoid operational problems </w:t>
      </w:r>
      <w:r w:rsidR="00E74045">
        <w:t>in</w:t>
      </w:r>
      <w:r w:rsidR="00881B6B" w:rsidRPr="00881B6B">
        <w:t xml:space="preserve"> aircraft.</w:t>
      </w:r>
    </w:p>
    <w:p w14:paraId="5E31A656" w14:textId="091D1B48" w:rsidR="00106560" w:rsidRDefault="00106560" w:rsidP="00965C0D">
      <w:pPr>
        <w:pStyle w:val="Considrant"/>
      </w:pPr>
      <w:r>
        <w:t>B</w:t>
      </w:r>
      <w:r w:rsidR="002D5B24">
        <w:t>iobor</w:t>
      </w:r>
      <w:r>
        <w:t xml:space="preserve"> JF contains </w:t>
      </w:r>
      <w:r w:rsidR="00373BAC" w:rsidRPr="00373BAC">
        <w:t>reaction mass of 2,2'-[(1-methylpropane-1,3-diyl)bis(oxy)]bis[4-methyl-1,3,2-dioxaborinane] and 2,2'-oxybis(4,4,6-trimethyl-1,3,2-dioxaborinane)</w:t>
      </w:r>
      <w:r w:rsidR="00050B3D">
        <w:t xml:space="preserve"> as</w:t>
      </w:r>
      <w:r w:rsidR="00F873AD">
        <w:t xml:space="preserve"> active substance</w:t>
      </w:r>
      <w:r w:rsidR="00050B3D">
        <w:t>.</w:t>
      </w:r>
      <w:r w:rsidR="00F873AD">
        <w:t xml:space="preserve"> </w:t>
      </w:r>
      <w:r w:rsidR="00050B3D" w:rsidRPr="00050B3D">
        <w:t xml:space="preserve">Biobor JF </w:t>
      </w:r>
      <w:r w:rsidR="00050B3D">
        <w:t xml:space="preserve">is a </w:t>
      </w:r>
      <w:r w:rsidR="00F873AD" w:rsidRPr="00F873AD">
        <w:t xml:space="preserve">biocidal product of product-type </w:t>
      </w:r>
      <w:r w:rsidR="00F873AD">
        <w:t>6</w:t>
      </w:r>
      <w:r w:rsidR="00DB7A8B">
        <w:t xml:space="preserve"> (</w:t>
      </w:r>
      <w:r w:rsidR="00F873AD">
        <w:t>preservative</w:t>
      </w:r>
      <w:r w:rsidR="00DB7A8B">
        <w:t>s</w:t>
      </w:r>
      <w:r w:rsidR="00F873AD">
        <w:t xml:space="preserve"> for products during storage</w:t>
      </w:r>
      <w:r w:rsidR="00DB7A8B">
        <w:t>)</w:t>
      </w:r>
      <w:r w:rsidR="00BB4DF8">
        <w:t>,</w:t>
      </w:r>
      <w:r w:rsidR="00F873AD" w:rsidRPr="00F873AD">
        <w:t xml:space="preserve"> as </w:t>
      </w:r>
      <w:r w:rsidR="00F873AD" w:rsidRPr="00DB7A8B">
        <w:t>defined</w:t>
      </w:r>
      <w:r w:rsidR="00F873AD" w:rsidRPr="00F873AD">
        <w:t xml:space="preserve"> in Annex </w:t>
      </w:r>
      <w:r w:rsidR="00F873AD" w:rsidRPr="00DB7A8B">
        <w:t>V</w:t>
      </w:r>
      <w:r w:rsidR="00F873AD" w:rsidRPr="00F873AD">
        <w:t xml:space="preserve"> to Regulation (EU) No 528</w:t>
      </w:r>
      <w:r w:rsidR="00F873AD" w:rsidRPr="00DB7A8B">
        <w:t>/</w:t>
      </w:r>
      <w:r w:rsidR="00F873AD" w:rsidRPr="00F873AD">
        <w:t>2012.</w:t>
      </w:r>
      <w:r>
        <w:t xml:space="preserve"> </w:t>
      </w:r>
      <w:r w:rsidR="00373BAC">
        <w:t>R</w:t>
      </w:r>
      <w:r w:rsidR="00373BAC" w:rsidRPr="00373BAC">
        <w:t>eaction mass of 2,2'-[(1-methylpropane-1,3-diyl)bis(oxy)]bis[4-methyl-1,3,2-dioxaborinane] and 2,2'-oxybis(4,4,6-trimethyl-1,3,2-dioxaborinane)</w:t>
      </w:r>
      <w:r w:rsidR="00373BAC">
        <w:t xml:space="preserve"> </w:t>
      </w:r>
      <w:r w:rsidR="00050B3D">
        <w:t>ha</w:t>
      </w:r>
      <w:r w:rsidR="00373BAC">
        <w:t>s</w:t>
      </w:r>
      <w:r w:rsidR="00050B3D">
        <w:t xml:space="preserve"> not been evaluated for use in </w:t>
      </w:r>
      <w:r w:rsidR="00067325">
        <w:t xml:space="preserve">biocidal </w:t>
      </w:r>
      <w:r w:rsidR="00050B3D">
        <w:t>products of product-type 6</w:t>
      </w:r>
      <w:r w:rsidR="0083248C">
        <w:t>. As th</w:t>
      </w:r>
      <w:r w:rsidR="00373BAC">
        <w:t>at</w:t>
      </w:r>
      <w:r w:rsidR="0083248C">
        <w:t xml:space="preserve"> substance</w:t>
      </w:r>
      <w:r w:rsidR="00050B3D">
        <w:t xml:space="preserve"> </w:t>
      </w:r>
      <w:r w:rsidR="00373BAC">
        <w:t>is</w:t>
      </w:r>
      <w:r w:rsidR="00881B6B">
        <w:t xml:space="preserve"> not listed </w:t>
      </w:r>
      <w:r w:rsidR="00920EDD" w:rsidRPr="00393CDC">
        <w:lastRenderedPageBreak/>
        <w:t xml:space="preserve">among the substance/product-type combinations included in the review programme </w:t>
      </w:r>
      <w:r w:rsidR="00920EDD" w:rsidRPr="00F17DEF">
        <w:t>on</w:t>
      </w:r>
      <w:r w:rsidR="00920EDD" w:rsidRPr="00393CDC">
        <w:t xml:space="preserve"> 17 March 2022, as set out</w:t>
      </w:r>
      <w:r w:rsidR="00920EDD">
        <w:t xml:space="preserve"> </w:t>
      </w:r>
      <w:r w:rsidR="00881B6B">
        <w:t xml:space="preserve">in Annex </w:t>
      </w:r>
      <w:r w:rsidR="00881B6B" w:rsidRPr="00920EDD">
        <w:t>II</w:t>
      </w:r>
      <w:r w:rsidR="00881B6B">
        <w:t xml:space="preserve"> to Commission Delegated Regulation (EU) No </w:t>
      </w:r>
      <w:r w:rsidR="00881B6B" w:rsidRPr="00920EDD">
        <w:t>1062</w:t>
      </w:r>
      <w:r w:rsidR="00881B6B">
        <w:t>/2014</w:t>
      </w:r>
      <w:r w:rsidR="00881B6B">
        <w:rPr>
          <w:rStyle w:val="FootnoteReference"/>
        </w:rPr>
        <w:footnoteReference w:id="3"/>
      </w:r>
      <w:r w:rsidR="00881B6B">
        <w:t xml:space="preserve">, </w:t>
      </w:r>
      <w:r w:rsidR="00373BAC">
        <w:t>it is</w:t>
      </w:r>
      <w:r w:rsidR="00881B6B">
        <w:t xml:space="preserve"> not included in the work programme</w:t>
      </w:r>
      <w:r w:rsidR="00881B6B" w:rsidRPr="005A68D9">
        <w:t xml:space="preserve"> for the systematic examination of all existing active substances contained in biocidal products referred to in Regulation (EU) No </w:t>
      </w:r>
      <w:r w:rsidR="00881B6B" w:rsidRPr="00920EDD">
        <w:t>528</w:t>
      </w:r>
      <w:r w:rsidR="00881B6B" w:rsidRPr="005A68D9">
        <w:t>/2012</w:t>
      </w:r>
      <w:r w:rsidR="00881B6B">
        <w:t>.</w:t>
      </w:r>
      <w:r w:rsidR="00881B6B" w:rsidRPr="000350C9">
        <w:t xml:space="preserve"> </w:t>
      </w:r>
      <w:r w:rsidR="00881B6B">
        <w:t xml:space="preserve">Article </w:t>
      </w:r>
      <w:r w:rsidR="00881B6B" w:rsidRPr="00920EDD">
        <w:t>89</w:t>
      </w:r>
      <w:r w:rsidR="00881B6B">
        <w:t xml:space="preserve"> of Regulation </w:t>
      </w:r>
      <w:r w:rsidR="00EB6653" w:rsidRPr="00920EDD">
        <w:t>(EU) No 528/2012</w:t>
      </w:r>
      <w:r w:rsidR="00EB6653">
        <w:t xml:space="preserve"> </w:t>
      </w:r>
      <w:r w:rsidR="00EE00A3">
        <w:t xml:space="preserve">allowing Member States to continue to apply their current system or practice of making available on the market or using a given biocidal product </w:t>
      </w:r>
      <w:r w:rsidR="00881B6B">
        <w:t>therefore does not apply to th</w:t>
      </w:r>
      <w:r w:rsidR="00373BAC">
        <w:t>at</w:t>
      </w:r>
      <w:r w:rsidR="00881B6B">
        <w:t xml:space="preserve"> active substance</w:t>
      </w:r>
      <w:r w:rsidR="00363A01">
        <w:t xml:space="preserve">, which </w:t>
      </w:r>
      <w:r w:rsidR="00373BAC">
        <w:t>has</w:t>
      </w:r>
      <w:r w:rsidR="00881B6B">
        <w:t xml:space="preserve"> to be assessed and approved before biocidal products containing </w:t>
      </w:r>
      <w:r w:rsidR="00373BAC">
        <w:t>it</w:t>
      </w:r>
      <w:r w:rsidR="00881B6B">
        <w:t xml:space="preserve"> can be authorised also at national level.</w:t>
      </w:r>
      <w:r w:rsidR="00472C20">
        <w:t xml:space="preserve"> </w:t>
      </w:r>
    </w:p>
    <w:p w14:paraId="31C72515" w14:textId="672ABD07" w:rsidR="00BF3661" w:rsidRDefault="00696579" w:rsidP="00965C0D">
      <w:pPr>
        <w:pStyle w:val="Considrant"/>
      </w:pPr>
      <w:r>
        <w:t xml:space="preserve">On </w:t>
      </w:r>
      <w:r w:rsidR="00A02729">
        <w:t>14 January 2026</w:t>
      </w:r>
      <w:r w:rsidR="00DA7182">
        <w:t xml:space="preserve">, the Commission received a reasoned request from the </w:t>
      </w:r>
      <w:r w:rsidR="00A02729">
        <w:t>Polish</w:t>
      </w:r>
      <w:r w:rsidR="00494B22">
        <w:t xml:space="preserve"> </w:t>
      </w:r>
      <w:r w:rsidR="00C0240C">
        <w:t xml:space="preserve">competent </w:t>
      </w:r>
      <w:r w:rsidR="002D5B24">
        <w:t>authority</w:t>
      </w:r>
      <w:r w:rsidR="00DA7182">
        <w:t xml:space="preserve"> to </w:t>
      </w:r>
      <w:r w:rsidR="00404E89">
        <w:t xml:space="preserve">allow the </w:t>
      </w:r>
      <w:r w:rsidR="00DA7182">
        <w:t>exten</w:t>
      </w:r>
      <w:r w:rsidR="00404E89">
        <w:t>sion of</w:t>
      </w:r>
      <w:r w:rsidR="00DA7182">
        <w:t xml:space="preserve"> the action in accordance with Article 55(1)</w:t>
      </w:r>
      <w:r w:rsidR="0055785E">
        <w:t>,</w:t>
      </w:r>
      <w:r w:rsidR="00DA7182">
        <w:t xml:space="preserve"> </w:t>
      </w:r>
      <w:r w:rsidR="0055785E">
        <w:t xml:space="preserve">third subparagraph, </w:t>
      </w:r>
      <w:r w:rsidR="00DA7182">
        <w:t xml:space="preserve">of Regulation (EU) No 528/2012. The reasoned request was </w:t>
      </w:r>
      <w:r w:rsidR="004D65EF">
        <w:t>based on</w:t>
      </w:r>
      <w:r w:rsidR="00DA7182">
        <w:t xml:space="preserve"> concerns that air transport safety might continue to be endangered by microbiological contamination of aircraft fuel tanks </w:t>
      </w:r>
      <w:r w:rsidR="009C7C21">
        <w:t xml:space="preserve">and fuel systems </w:t>
      </w:r>
      <w:r w:rsidR="00DA7182">
        <w:t xml:space="preserve">and </w:t>
      </w:r>
      <w:r w:rsidR="004D65EF">
        <w:t xml:space="preserve">on </w:t>
      </w:r>
      <w:r w:rsidR="00DA7182">
        <w:t>the argument that B</w:t>
      </w:r>
      <w:r w:rsidR="002D5B24">
        <w:t>iobor</w:t>
      </w:r>
      <w:r w:rsidR="00DA7182">
        <w:t xml:space="preserve"> JF is essential in order to control such microbiological contamination.</w:t>
      </w:r>
    </w:p>
    <w:p w14:paraId="5A127F46" w14:textId="051F683D" w:rsidR="001B7049" w:rsidRDefault="00E5287D" w:rsidP="000403B7">
      <w:pPr>
        <w:pStyle w:val="Considrant"/>
        <w:numPr>
          <w:ilvl w:val="0"/>
          <w:numId w:val="10"/>
        </w:numPr>
      </w:pPr>
      <w:r>
        <w:t xml:space="preserve">According </w:t>
      </w:r>
      <w:r w:rsidR="001B7049">
        <w:t>to the information provided by th</w:t>
      </w:r>
      <w:r w:rsidR="001B7049" w:rsidRPr="00102DAB">
        <w:t xml:space="preserve">e </w:t>
      </w:r>
      <w:r w:rsidR="00A02729">
        <w:t>Polish</w:t>
      </w:r>
      <w:r w:rsidR="00494B22">
        <w:t xml:space="preserve"> </w:t>
      </w:r>
      <w:r w:rsidR="001B7049">
        <w:t>competent authorit</w:t>
      </w:r>
      <w:r w:rsidR="00800343">
        <w:t>y</w:t>
      </w:r>
      <w:r w:rsidR="00C0240C">
        <w:t>,</w:t>
      </w:r>
      <w:r w:rsidR="001B7049">
        <w:t xml:space="preserve"> the only alternative biocidal product </w:t>
      </w:r>
      <w:r w:rsidR="001B7049" w:rsidRPr="00E5287D">
        <w:t xml:space="preserve">recommended by aircraft and </w:t>
      </w:r>
      <w:r w:rsidR="001B7049">
        <w:t xml:space="preserve">aircraft </w:t>
      </w:r>
      <w:r w:rsidR="001B7049" w:rsidRPr="00E5287D">
        <w:t xml:space="preserve">engine manufacturers for </w:t>
      </w:r>
      <w:r w:rsidR="001B7049">
        <w:t xml:space="preserve">the </w:t>
      </w:r>
      <w:r w:rsidR="001B7049" w:rsidRPr="00E5287D">
        <w:t>treatment of microbiological contamination</w:t>
      </w:r>
      <w:r w:rsidR="008B5A60">
        <w:t xml:space="preserve">, </w:t>
      </w:r>
      <w:r w:rsidR="00EB6653">
        <w:t xml:space="preserve">namely, </w:t>
      </w:r>
      <w:r w:rsidR="001B7049" w:rsidRPr="00CD356E">
        <w:t>Kathon™ FP 1.5</w:t>
      </w:r>
      <w:r w:rsidR="008B5A60">
        <w:t>,</w:t>
      </w:r>
      <w:r w:rsidR="001B7049">
        <w:t xml:space="preserve"> </w:t>
      </w:r>
      <w:r w:rsidR="001B7049" w:rsidRPr="00E5287D">
        <w:t xml:space="preserve">was withdrawn from the market in March 2020 </w:t>
      </w:r>
      <w:r w:rsidR="001B7049">
        <w:t>due to</w:t>
      </w:r>
      <w:r w:rsidR="001B7049" w:rsidRPr="00E5287D">
        <w:t xml:space="preserve"> </w:t>
      </w:r>
      <w:r w:rsidR="001B7049">
        <w:t>severe behaviour anomalies</w:t>
      </w:r>
      <w:r w:rsidR="00D016BE" w:rsidRPr="00D016BE">
        <w:t xml:space="preserve"> </w:t>
      </w:r>
      <w:r w:rsidR="00ED0F56">
        <w:t xml:space="preserve">in aircraft engines </w:t>
      </w:r>
      <w:r w:rsidR="001B7049">
        <w:t xml:space="preserve">that were noticed </w:t>
      </w:r>
      <w:r w:rsidR="001B7049" w:rsidRPr="00E5287D">
        <w:t xml:space="preserve">after the </w:t>
      </w:r>
      <w:r w:rsidR="001B7049" w:rsidRPr="00393CDC">
        <w:t xml:space="preserve">treatment </w:t>
      </w:r>
      <w:r w:rsidR="00EB6653" w:rsidRPr="00393CDC">
        <w:t xml:space="preserve">of aircraft engines </w:t>
      </w:r>
      <w:r w:rsidR="001B7049" w:rsidRPr="00393CDC">
        <w:t>with</w:t>
      </w:r>
      <w:r w:rsidR="001B7049" w:rsidRPr="00E5287D">
        <w:t xml:space="preserve"> that product</w:t>
      </w:r>
      <w:r w:rsidR="001B7049">
        <w:t xml:space="preserve">. Biobor JF is therefore the only available product for </w:t>
      </w:r>
      <w:r w:rsidR="00110E32">
        <w:t>that</w:t>
      </w:r>
      <w:r w:rsidR="001B7049">
        <w:t xml:space="preserve"> use recommended by </w:t>
      </w:r>
      <w:r w:rsidR="001B7049" w:rsidRPr="0017798F">
        <w:t xml:space="preserve">aircraft and </w:t>
      </w:r>
      <w:r w:rsidR="001B7049">
        <w:t xml:space="preserve">aircraft </w:t>
      </w:r>
      <w:r w:rsidR="001B7049" w:rsidRPr="0017798F">
        <w:t>engine manufacturers</w:t>
      </w:r>
      <w:r w:rsidR="001B7049">
        <w:t>.</w:t>
      </w:r>
    </w:p>
    <w:p w14:paraId="1A6D336E" w14:textId="64C9CA59" w:rsidR="00934377" w:rsidRDefault="00934377" w:rsidP="00934377">
      <w:pPr>
        <w:pStyle w:val="Considrant"/>
        <w:numPr>
          <w:ilvl w:val="0"/>
          <w:numId w:val="10"/>
        </w:numPr>
      </w:pPr>
      <w:r>
        <w:t>As indicated by</w:t>
      </w:r>
      <w:r w:rsidRPr="005C7112">
        <w:t xml:space="preserve"> </w:t>
      </w:r>
      <w:r>
        <w:t xml:space="preserve">the </w:t>
      </w:r>
      <w:r w:rsidR="00A02729">
        <w:t>Polish</w:t>
      </w:r>
      <w:r>
        <w:t xml:space="preserve"> </w:t>
      </w:r>
      <w:r w:rsidRPr="00102DAB">
        <w:t>competent</w:t>
      </w:r>
      <w:r>
        <w:t xml:space="preserve"> authority, the mechanical treatment of microbiological contamination of aircraft fuel tanks and fuel systems is not always possible and the procedures recommended by engine manufacturers require the treatment with a biocidal product even when mechanical cleaning is possible. Moreover, mechanical treatment would expose workers to toxic gases and should therefore be avoided.</w:t>
      </w:r>
    </w:p>
    <w:p w14:paraId="6678915E" w14:textId="79DA4384" w:rsidR="00F873AD" w:rsidRDefault="00373BAC" w:rsidP="00965C0D">
      <w:pPr>
        <w:pStyle w:val="Considrant"/>
      </w:pPr>
      <w:r>
        <w:t>T</w:t>
      </w:r>
      <w:r w:rsidR="001B7049" w:rsidRPr="001B7049">
        <w:t>he manufacturer of Biobor JF has taken steps to</w:t>
      </w:r>
      <w:r w:rsidR="0026520F">
        <w:t xml:space="preserve"> seek</w:t>
      </w:r>
      <w:r w:rsidR="00146841">
        <w:t xml:space="preserve"> </w:t>
      </w:r>
      <w:r w:rsidR="00800343">
        <w:t>a</w:t>
      </w:r>
      <w:r w:rsidR="00393CDC">
        <w:t>n</w:t>
      </w:r>
      <w:r w:rsidR="00800343">
        <w:t xml:space="preserve"> </w:t>
      </w:r>
      <w:r w:rsidR="001B7049" w:rsidRPr="001B7049">
        <w:t xml:space="preserve">authorisation of the product. </w:t>
      </w:r>
      <w:r w:rsidR="00800343">
        <w:t>A</w:t>
      </w:r>
      <w:r w:rsidR="001B7049" w:rsidRPr="001B7049">
        <w:t xml:space="preserve">n application for approval of the active substance that Biobor JF contains </w:t>
      </w:r>
      <w:r w:rsidR="00172FA0">
        <w:t>was</w:t>
      </w:r>
      <w:r>
        <w:t xml:space="preserve"> submitted in June 2025</w:t>
      </w:r>
      <w:r w:rsidR="00B53AE5">
        <w:t xml:space="preserve"> to the European Chemicals Agency</w:t>
      </w:r>
      <w:r w:rsidR="001B7049" w:rsidRPr="001B7049">
        <w:t xml:space="preserve">. The approval of the active substance and </w:t>
      </w:r>
      <w:r w:rsidR="009E4331">
        <w:t xml:space="preserve">the </w:t>
      </w:r>
      <w:r w:rsidR="001B7049" w:rsidRPr="001B7049">
        <w:t xml:space="preserve">authorisation of the biocidal product would constitute a </w:t>
      </w:r>
      <w:r w:rsidR="00681BB5">
        <w:t>long-term</w:t>
      </w:r>
      <w:r w:rsidR="00681BB5" w:rsidRPr="001B7049">
        <w:t xml:space="preserve"> </w:t>
      </w:r>
      <w:r w:rsidR="001B7049" w:rsidRPr="001B7049">
        <w:t>solution</w:t>
      </w:r>
      <w:r>
        <w:t>,</w:t>
      </w:r>
      <w:r w:rsidR="001B7049" w:rsidRPr="001B7049">
        <w:t xml:space="preserve"> but a significant amount of time </w:t>
      </w:r>
      <w:r w:rsidR="004B7136">
        <w:t>is</w:t>
      </w:r>
      <w:r w:rsidR="001B7049" w:rsidRPr="001B7049">
        <w:t xml:space="preserve"> needed for the completion of </w:t>
      </w:r>
      <w:r w:rsidR="008A3215">
        <w:t xml:space="preserve">the </w:t>
      </w:r>
      <w:r w:rsidR="00E533BB">
        <w:t xml:space="preserve">approval </w:t>
      </w:r>
      <w:r w:rsidR="008A3215">
        <w:t xml:space="preserve">and </w:t>
      </w:r>
      <w:r w:rsidR="00E533BB">
        <w:t xml:space="preserve">authorisation </w:t>
      </w:r>
      <w:r w:rsidR="001B7049" w:rsidRPr="001B7049">
        <w:t>procedures</w:t>
      </w:r>
      <w:r w:rsidR="00375B11">
        <w:t xml:space="preserve">.  </w:t>
      </w:r>
    </w:p>
    <w:p w14:paraId="3A6DBAE2" w14:textId="25CAF289" w:rsidR="00F11D6B" w:rsidRDefault="00CA0EB9" w:rsidP="00965C0D">
      <w:pPr>
        <w:pStyle w:val="Considrant"/>
      </w:pPr>
      <w:r>
        <w:t>T</w:t>
      </w:r>
      <w:r w:rsidR="00F11D6B">
        <w:t xml:space="preserve">he lack of control of microbiological contamination of aircraft fuel tanks and fuel systems might </w:t>
      </w:r>
      <w:r w:rsidR="00F11D6B" w:rsidRPr="00F11D6B">
        <w:t>endanger air transport safety</w:t>
      </w:r>
      <w:r w:rsidR="00200E60">
        <w:t>,</w:t>
      </w:r>
      <w:r w:rsidR="00F11D6B" w:rsidRPr="00F11D6B">
        <w:t xml:space="preserve"> and that danger cannot be adequately </w:t>
      </w:r>
      <w:r w:rsidR="002C617B">
        <w:t xml:space="preserve">controlled </w:t>
      </w:r>
      <w:r w:rsidR="00F11D6B" w:rsidRPr="00A97E9E">
        <w:t xml:space="preserve">by using another biocidal product or by </w:t>
      </w:r>
      <w:r w:rsidR="00E5397C">
        <w:t xml:space="preserve">any </w:t>
      </w:r>
      <w:r w:rsidR="00F11D6B" w:rsidRPr="00A97E9E">
        <w:t>other means</w:t>
      </w:r>
      <w:r>
        <w:t>.</w:t>
      </w:r>
      <w:r w:rsidR="00F11D6B" w:rsidRPr="00A97E9E">
        <w:t xml:space="preserve"> </w:t>
      </w:r>
      <w:r>
        <w:t>I</w:t>
      </w:r>
      <w:r w:rsidR="00F11D6B" w:rsidRPr="00A97E9E">
        <w:t xml:space="preserve">t is </w:t>
      </w:r>
      <w:r>
        <w:t xml:space="preserve">therefore </w:t>
      </w:r>
      <w:r w:rsidR="00F11D6B" w:rsidRPr="00A97E9E">
        <w:t xml:space="preserve">appropriate to allow </w:t>
      </w:r>
      <w:r w:rsidR="00F11D6B" w:rsidRPr="00102DAB">
        <w:t xml:space="preserve">the </w:t>
      </w:r>
      <w:r w:rsidR="00A02729">
        <w:t>Polish</w:t>
      </w:r>
      <w:r w:rsidR="00494B22">
        <w:t xml:space="preserve"> </w:t>
      </w:r>
      <w:r w:rsidR="00F11D6B" w:rsidRPr="00102DAB">
        <w:t>competent</w:t>
      </w:r>
      <w:r w:rsidR="00F11D6B" w:rsidRPr="00A97E9E">
        <w:t xml:space="preserve"> authority to extend th</w:t>
      </w:r>
      <w:r w:rsidR="007108B4" w:rsidRPr="00A97E9E">
        <w:t>e action</w:t>
      </w:r>
      <w:r w:rsidR="00B53AE5">
        <w:t xml:space="preserve"> beyond </w:t>
      </w:r>
      <w:r w:rsidR="00EB6CBB">
        <w:t>21 April 2026</w:t>
      </w:r>
      <w:r w:rsidR="007108B4" w:rsidRPr="00A97E9E">
        <w:t>.</w:t>
      </w:r>
    </w:p>
    <w:p w14:paraId="144DA2E5" w14:textId="77777777" w:rsidR="00F728BD" w:rsidRPr="00A97E9E" w:rsidRDefault="00F728BD" w:rsidP="00965C0D">
      <w:pPr>
        <w:pStyle w:val="Considrant"/>
      </w:pPr>
      <w:r w:rsidRPr="00A97E9E">
        <w:t>The measures provided for in this Decision are in accordance with the opinion of the </w:t>
      </w:r>
      <w:r w:rsidR="002148FB" w:rsidRPr="00A97E9E">
        <w:rPr>
          <w:szCs w:val="24"/>
        </w:rPr>
        <w:t>Standing Committee on Biocidal Products</w:t>
      </w:r>
      <w:r w:rsidRPr="00A97E9E">
        <w:t>,</w:t>
      </w:r>
    </w:p>
    <w:p w14:paraId="016EF573" w14:textId="77777777" w:rsidR="00F728BD" w:rsidRPr="00E23D00" w:rsidRDefault="00F728BD" w:rsidP="00102DAB">
      <w:pPr>
        <w:pStyle w:val="Formuledadoption"/>
      </w:pPr>
      <w:r w:rsidRPr="00E23D00">
        <w:lastRenderedPageBreak/>
        <w:t xml:space="preserve">HAS ADOPTED THIS DECISION: </w:t>
      </w:r>
    </w:p>
    <w:p w14:paraId="18CAF07B" w14:textId="77777777" w:rsidR="00F728BD" w:rsidRPr="00E23D00" w:rsidRDefault="00F728BD" w:rsidP="00102DAB">
      <w:pPr>
        <w:pStyle w:val="Titrearticle"/>
      </w:pPr>
      <w:r w:rsidRPr="00E23D00">
        <w:t>Article 1</w:t>
      </w:r>
    </w:p>
    <w:p w14:paraId="70DD7614" w14:textId="65CBC041" w:rsidR="00F728BD" w:rsidRPr="00E23D00" w:rsidRDefault="00C571B3" w:rsidP="00102DAB">
      <w:r>
        <w:t xml:space="preserve">The </w:t>
      </w:r>
      <w:r w:rsidR="00A02729" w:rsidRPr="00A02729">
        <w:rPr>
          <w:rFonts w:eastAsia="Times New Roman"/>
          <w:szCs w:val="20"/>
        </w:rPr>
        <w:t xml:space="preserve">Polish Office for Registration of Medicinal Products, Medical Devices and Biocidal Products </w:t>
      </w:r>
      <w:r w:rsidR="009E4B41" w:rsidRPr="00915909">
        <w:rPr>
          <w:szCs w:val="24"/>
        </w:rPr>
        <w:t xml:space="preserve">may extend </w:t>
      </w:r>
      <w:r w:rsidR="00FE08D2" w:rsidRPr="00C57339">
        <w:rPr>
          <w:szCs w:val="24"/>
        </w:rPr>
        <w:t xml:space="preserve">until </w:t>
      </w:r>
      <w:r w:rsidR="00EB6CBB">
        <w:rPr>
          <w:szCs w:val="24"/>
        </w:rPr>
        <w:t>24 October</w:t>
      </w:r>
      <w:r w:rsidR="001B24F3">
        <w:rPr>
          <w:szCs w:val="24"/>
        </w:rPr>
        <w:t xml:space="preserve"> 202</w:t>
      </w:r>
      <w:r w:rsidR="002741E0">
        <w:rPr>
          <w:szCs w:val="24"/>
        </w:rPr>
        <w:t>7</w:t>
      </w:r>
      <w:r w:rsidR="00FE08D2">
        <w:rPr>
          <w:szCs w:val="24"/>
        </w:rPr>
        <w:t xml:space="preserve"> </w:t>
      </w:r>
      <w:r w:rsidR="007108B4" w:rsidRPr="007108B4">
        <w:rPr>
          <w:szCs w:val="24"/>
        </w:rPr>
        <w:t>the</w:t>
      </w:r>
      <w:r w:rsidR="006A737B">
        <w:rPr>
          <w:szCs w:val="24"/>
        </w:rPr>
        <w:t xml:space="preserve"> action </w:t>
      </w:r>
      <w:r w:rsidR="00504A8B">
        <w:rPr>
          <w:szCs w:val="24"/>
        </w:rPr>
        <w:t>permitting</w:t>
      </w:r>
      <w:r w:rsidR="007108B4" w:rsidRPr="007108B4">
        <w:rPr>
          <w:szCs w:val="24"/>
        </w:rPr>
        <w:t xml:space="preserve"> the making available on the market</w:t>
      </w:r>
      <w:r w:rsidR="006A737B">
        <w:rPr>
          <w:szCs w:val="24"/>
        </w:rPr>
        <w:t xml:space="preserve"> </w:t>
      </w:r>
      <w:r w:rsidR="00BF0C3E">
        <w:rPr>
          <w:szCs w:val="24"/>
        </w:rPr>
        <w:t xml:space="preserve">for, </w:t>
      </w:r>
      <w:r w:rsidR="007108B4" w:rsidRPr="00DE1F22">
        <w:rPr>
          <w:szCs w:val="24"/>
        </w:rPr>
        <w:t>and use</w:t>
      </w:r>
      <w:r w:rsidR="006A737B" w:rsidRPr="00DE1F22">
        <w:rPr>
          <w:szCs w:val="24"/>
        </w:rPr>
        <w:t xml:space="preserve"> by</w:t>
      </w:r>
      <w:r w:rsidR="00BF0C3E">
        <w:rPr>
          <w:szCs w:val="24"/>
        </w:rPr>
        <w:t xml:space="preserve">, </w:t>
      </w:r>
      <w:r w:rsidR="006A737B" w:rsidRPr="00DE1F22">
        <w:rPr>
          <w:szCs w:val="24"/>
        </w:rPr>
        <w:t>professional users</w:t>
      </w:r>
      <w:r w:rsidR="007108B4">
        <w:rPr>
          <w:szCs w:val="24"/>
        </w:rPr>
        <w:t xml:space="preserve"> </w:t>
      </w:r>
      <w:r w:rsidR="007108B4" w:rsidRPr="007108B4">
        <w:rPr>
          <w:szCs w:val="24"/>
        </w:rPr>
        <w:t xml:space="preserve">of the biocidal product Biobor JF for </w:t>
      </w:r>
      <w:r w:rsidR="006A737B">
        <w:rPr>
          <w:szCs w:val="24"/>
        </w:rPr>
        <w:t xml:space="preserve">the </w:t>
      </w:r>
      <w:r w:rsidR="007108B4" w:rsidRPr="007108B4">
        <w:rPr>
          <w:szCs w:val="24"/>
        </w:rPr>
        <w:t xml:space="preserve">antimicrobial treatment of </w:t>
      </w:r>
      <w:r w:rsidR="00473DF2">
        <w:rPr>
          <w:szCs w:val="24"/>
        </w:rPr>
        <w:t xml:space="preserve">aircraft </w:t>
      </w:r>
      <w:r w:rsidR="007108B4" w:rsidRPr="007108B4">
        <w:rPr>
          <w:szCs w:val="24"/>
        </w:rPr>
        <w:t>fuel tanks and fuel systems</w:t>
      </w:r>
      <w:r w:rsidR="00C447F8">
        <w:rPr>
          <w:szCs w:val="24"/>
        </w:rPr>
        <w:t>.</w:t>
      </w:r>
      <w:r w:rsidR="00F11D6B">
        <w:rPr>
          <w:szCs w:val="24"/>
        </w:rPr>
        <w:t xml:space="preserve"> </w:t>
      </w:r>
    </w:p>
    <w:p w14:paraId="7B07E196" w14:textId="77777777" w:rsidR="00F728BD" w:rsidRPr="002148FB" w:rsidRDefault="00F728BD" w:rsidP="00102DAB">
      <w:pPr>
        <w:pStyle w:val="Titrearticle"/>
      </w:pPr>
      <w:r w:rsidRPr="00E23D00">
        <w:t xml:space="preserve">Article </w:t>
      </w:r>
      <w:r w:rsidR="002148FB" w:rsidRPr="002148FB">
        <w:t>2</w:t>
      </w:r>
    </w:p>
    <w:p w14:paraId="297AE1D1" w14:textId="2C1F3D89" w:rsidR="002C55DD" w:rsidRDefault="00F728BD" w:rsidP="00102DAB">
      <w:pPr>
        <w:rPr>
          <w:color w:val="000000"/>
        </w:rPr>
      </w:pPr>
      <w:r w:rsidRPr="00217AA6">
        <w:rPr>
          <w:color w:val="000000"/>
        </w:rPr>
        <w:t xml:space="preserve">This Decision is addressed to </w:t>
      </w:r>
      <w:r w:rsidR="00C571B3">
        <w:rPr>
          <w:color w:val="000000"/>
        </w:rPr>
        <w:t xml:space="preserve">the </w:t>
      </w:r>
      <w:r w:rsidR="00A02729" w:rsidRPr="00A02729">
        <w:rPr>
          <w:rFonts w:eastAsia="Times New Roman"/>
          <w:szCs w:val="20"/>
        </w:rPr>
        <w:t>Polish Office for Registration of Medicinal Products, Medical Devices and Biocidal Products</w:t>
      </w:r>
      <w:r w:rsidRPr="002148FB">
        <w:rPr>
          <w:color w:val="000000"/>
        </w:rPr>
        <w:t>.</w:t>
      </w:r>
    </w:p>
    <w:p w14:paraId="37F9BB08" w14:textId="0192F00D" w:rsidR="004907E2" w:rsidRDefault="00AC383B" w:rsidP="00AC383B">
      <w:pPr>
        <w:pStyle w:val="Fait"/>
      </w:pPr>
      <w:r w:rsidRPr="00AC383B">
        <w:t>Done at Brussels,</w:t>
      </w:r>
    </w:p>
    <w:p w14:paraId="484B9521" w14:textId="77777777" w:rsidR="00F728BD" w:rsidRDefault="00F728BD" w:rsidP="00F728BD">
      <w:pPr>
        <w:pStyle w:val="Institutionquisigne"/>
      </w:pPr>
      <w:r w:rsidRPr="00F728BD">
        <w:tab/>
        <w:t>For the Commission</w:t>
      </w:r>
    </w:p>
    <w:p w14:paraId="11A517BE" w14:textId="77777777" w:rsidR="00F66E12" w:rsidRDefault="00781E31" w:rsidP="002148FB">
      <w:pPr>
        <w:pStyle w:val="Personnequisigne"/>
        <w:rPr>
          <w:lang w:val="en-IE"/>
        </w:rPr>
      </w:pPr>
      <w:r w:rsidRPr="00522BE9">
        <w:rPr>
          <w:lang w:val="en-IE"/>
        </w:rPr>
        <w:tab/>
      </w:r>
      <w:r w:rsidR="00C56AA4" w:rsidRPr="00C56AA4">
        <w:rPr>
          <w:lang w:val="en-IE"/>
        </w:rPr>
        <w:t>Olivér Várhelyi</w:t>
      </w:r>
    </w:p>
    <w:p w14:paraId="52829724" w14:textId="058C80D6" w:rsidR="00F728BD" w:rsidRDefault="002148FB" w:rsidP="002148FB">
      <w:pPr>
        <w:pStyle w:val="Personnequisigne"/>
      </w:pPr>
      <w:r>
        <w:tab/>
        <w:t>Member of the Commission</w:t>
      </w:r>
    </w:p>
    <w:sectPr w:rsidR="00F728BD" w:rsidSect="00AC383B">
      <w:headerReference w:type="even" r:id="rId18"/>
      <w:footerReference w:type="even" r:id="rId19"/>
      <w:footerReference w:type="default" r:id="rId20"/>
      <w:headerReference w:type="first" r:id="rId21"/>
      <w:footerReference w:type="first" r:id="rId22"/>
      <w:pgSz w:w="11907" w:h="16839"/>
      <w:pgMar w:top="1134" w:right="1417" w:bottom="1134" w:left="1417"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CDA073" w14:textId="77777777" w:rsidR="003C4B6F" w:rsidRDefault="003C4B6F" w:rsidP="00F728BD">
      <w:pPr>
        <w:spacing w:before="0" w:after="0"/>
      </w:pPr>
      <w:r>
        <w:separator/>
      </w:r>
    </w:p>
  </w:endnote>
  <w:endnote w:type="continuationSeparator" w:id="0">
    <w:p w14:paraId="32E207A1" w14:textId="77777777" w:rsidR="003C4B6F" w:rsidRDefault="003C4B6F" w:rsidP="00F728BD">
      <w:pPr>
        <w:spacing w:before="0" w:after="0"/>
      </w:pPr>
      <w:r>
        <w:continuationSeparator/>
      </w:r>
    </w:p>
  </w:endnote>
  <w:endnote w:type="continuationNotice" w:id="1">
    <w:p w14:paraId="7E7ACDE0" w14:textId="77777777" w:rsidR="003C4B6F" w:rsidRDefault="003C4B6F">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ECD53" w14:textId="52731608" w:rsidR="00DF2167" w:rsidRPr="00AC383B" w:rsidRDefault="00AC383B" w:rsidP="00AC383B">
    <w:pPr>
      <w:pStyle w:val="Footer"/>
      <w:rPr>
        <w:rFonts w:ascii="Arial" w:hAnsi="Arial" w:cs="Arial"/>
        <w:b/>
        <w:sz w:val="48"/>
      </w:rPr>
    </w:pPr>
    <w:r w:rsidRPr="00AC383B">
      <w:rPr>
        <w:rFonts w:ascii="Arial" w:hAnsi="Arial" w:cs="Arial"/>
        <w:b/>
        <w:sz w:val="48"/>
      </w:rPr>
      <w:t>EN</w:t>
    </w:r>
    <w:r w:rsidRPr="00AC383B">
      <w:rPr>
        <w:rFonts w:ascii="Arial" w:hAnsi="Arial" w:cs="Arial"/>
        <w:b/>
        <w:sz w:val="48"/>
      </w:rPr>
      <w:tab/>
    </w:r>
    <w:r w:rsidRPr="00AC383B">
      <w:rPr>
        <w:rFonts w:ascii="Arial" w:hAnsi="Arial" w:cs="Arial"/>
        <w:b/>
        <w:sz w:val="48"/>
      </w:rPr>
      <w:tab/>
    </w:r>
    <w:r w:rsidRPr="00AC383B">
      <w:tab/>
    </w:r>
    <w:r w:rsidRPr="00AC383B">
      <w:rPr>
        <w:rFonts w:ascii="Arial" w:hAnsi="Arial" w:cs="Arial"/>
        <w:b/>
        <w:sz w:val="48"/>
      </w:rPr>
      <w:t>EN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F6330" w14:textId="6B88A555" w:rsidR="00DF2167" w:rsidRPr="00AC383B" w:rsidRDefault="00AC383B" w:rsidP="00AC383B">
    <w:pPr>
      <w:pStyle w:val="Footer"/>
      <w:rPr>
        <w:rFonts w:ascii="Arial" w:hAnsi="Arial" w:cs="Arial"/>
        <w:b/>
        <w:sz w:val="48"/>
      </w:rPr>
    </w:pPr>
    <w:r w:rsidRPr="00AC383B">
      <w:rPr>
        <w:rFonts w:ascii="Arial" w:hAnsi="Arial" w:cs="Arial"/>
        <w:b/>
        <w:sz w:val="48"/>
      </w:rPr>
      <w:t>EN</w:t>
    </w:r>
    <w:r w:rsidRPr="00AC383B">
      <w:rPr>
        <w:rFonts w:ascii="Arial" w:hAnsi="Arial" w:cs="Arial"/>
        <w:b/>
        <w:sz w:val="48"/>
      </w:rPr>
      <w:tab/>
    </w:r>
    <w:r w:rsidRPr="00AC383B">
      <w:rPr>
        <w:rFonts w:ascii="Arial" w:hAnsi="Arial" w:cs="Arial"/>
        <w:b/>
        <w:sz w:val="48"/>
      </w:rPr>
      <w:tab/>
    </w:r>
    <w:r w:rsidRPr="00AC383B">
      <w:tab/>
    </w:r>
    <w:r w:rsidRPr="00AC383B">
      <w:rPr>
        <w:rFonts w:ascii="Arial" w:hAnsi="Arial" w:cs="Arial"/>
        <w:b/>
        <w:sz w:val="48"/>
      </w:rPr>
      <w:t>EN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E210FA" w14:textId="77777777" w:rsidR="00AC383B" w:rsidRPr="00AC383B" w:rsidRDefault="00AC383B" w:rsidP="00AC383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40342" w14:textId="77777777" w:rsidR="00494B22" w:rsidRPr="009979B7" w:rsidRDefault="00494B22" w:rsidP="009979B7">
    <w:pPr>
      <w:pStyle w:val="Footer"/>
      <w:rPr>
        <w:rFonts w:ascii="Arial" w:hAnsi="Arial" w:cs="Arial"/>
        <w:b/>
        <w:sz w:val="48"/>
      </w:rPr>
    </w:pPr>
    <w:r w:rsidRPr="009979B7">
      <w:rPr>
        <w:rFonts w:ascii="Arial" w:hAnsi="Arial" w:cs="Arial"/>
        <w:b/>
        <w:sz w:val="48"/>
      </w:rPr>
      <w:t>EN</w:t>
    </w:r>
    <w:r w:rsidRPr="009979B7">
      <w:rPr>
        <w:rFonts w:ascii="Arial" w:hAnsi="Arial" w:cs="Arial"/>
        <w:b/>
        <w:sz w:val="48"/>
      </w:rPr>
      <w:tab/>
    </w:r>
    <w:r w:rsidRPr="009979B7">
      <w:rPr>
        <w:rFonts w:ascii="Arial" w:hAnsi="Arial" w:cs="Arial"/>
        <w:b/>
        <w:sz w:val="48"/>
      </w:rPr>
      <w:tab/>
    </w:r>
    <w:r w:rsidRPr="009979B7">
      <w:tab/>
    </w:r>
    <w:r w:rsidRPr="009979B7">
      <w:rPr>
        <w:rFonts w:ascii="Arial" w:hAnsi="Arial" w:cs="Arial"/>
        <w:b/>
        <w:sz w:val="48"/>
      </w:rPr>
      <w:t>EN</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34DCB" w14:textId="1D50B850" w:rsidR="00AC383B" w:rsidRPr="00AC383B" w:rsidRDefault="00AC383B" w:rsidP="00AC383B">
    <w:pPr>
      <w:pStyle w:val="Footer"/>
      <w:rPr>
        <w:rFonts w:ascii="Arial" w:hAnsi="Arial" w:cs="Arial"/>
        <w:b/>
        <w:sz w:val="48"/>
      </w:rPr>
    </w:pPr>
    <w:r w:rsidRPr="00AC383B">
      <w:rPr>
        <w:rFonts w:ascii="Arial" w:hAnsi="Arial" w:cs="Arial"/>
        <w:b/>
        <w:sz w:val="48"/>
      </w:rPr>
      <w:t>EN</w:t>
    </w:r>
    <w:r w:rsidRPr="00AC383B">
      <w:rPr>
        <w:rFonts w:ascii="Arial" w:hAnsi="Arial" w:cs="Arial"/>
        <w:b/>
        <w:sz w:val="48"/>
      </w:rPr>
      <w:tab/>
    </w:r>
    <w:r>
      <w:fldChar w:fldCharType="begin"/>
    </w:r>
    <w:r>
      <w:instrText xml:space="preserve"> PAGE  \* MERGEFORMAT </w:instrText>
    </w:r>
    <w:r>
      <w:fldChar w:fldCharType="separate"/>
    </w:r>
    <w:r>
      <w:rPr>
        <w:noProof/>
      </w:rPr>
      <w:t>1</w:t>
    </w:r>
    <w:r>
      <w:fldChar w:fldCharType="end"/>
    </w:r>
    <w:r>
      <w:tab/>
    </w:r>
    <w:r w:rsidRPr="00AC383B">
      <w:tab/>
    </w:r>
    <w:r w:rsidRPr="00AC383B">
      <w:rPr>
        <w:rFonts w:ascii="Arial" w:hAnsi="Arial" w:cs="Arial"/>
        <w:b/>
        <w:sz w:val="48"/>
      </w:rPr>
      <w:t>EN</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2C0E3" w14:textId="77777777" w:rsidR="009979B7" w:rsidRPr="009979B7" w:rsidRDefault="009979B7" w:rsidP="00AC38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FDF81" w14:textId="77777777" w:rsidR="003C4B6F" w:rsidRDefault="003C4B6F" w:rsidP="00F728BD">
      <w:pPr>
        <w:spacing w:before="0" w:after="0"/>
      </w:pPr>
      <w:r>
        <w:separator/>
      </w:r>
    </w:p>
  </w:footnote>
  <w:footnote w:type="continuationSeparator" w:id="0">
    <w:p w14:paraId="2713D20F" w14:textId="77777777" w:rsidR="003C4B6F" w:rsidRDefault="003C4B6F" w:rsidP="00F728BD">
      <w:pPr>
        <w:spacing w:before="0" w:after="0"/>
      </w:pPr>
      <w:r>
        <w:continuationSeparator/>
      </w:r>
    </w:p>
  </w:footnote>
  <w:footnote w:type="continuationNotice" w:id="1">
    <w:p w14:paraId="2979DB5D" w14:textId="77777777" w:rsidR="003C4B6F" w:rsidRDefault="003C4B6F">
      <w:pPr>
        <w:spacing w:before="0" w:after="0"/>
      </w:pPr>
    </w:p>
  </w:footnote>
  <w:footnote w:id="2">
    <w:p w14:paraId="3EE304E7" w14:textId="49001492" w:rsidR="002148FB" w:rsidRPr="00DF7AB6" w:rsidRDefault="002148FB" w:rsidP="002148FB">
      <w:pPr>
        <w:pStyle w:val="FootnoteText"/>
        <w:rPr>
          <w:lang w:val="fi-FI"/>
        </w:rPr>
      </w:pPr>
      <w:r>
        <w:rPr>
          <w:rStyle w:val="FootnoteReference"/>
        </w:rPr>
        <w:footnoteRef/>
      </w:r>
      <w:r w:rsidRPr="00DF7AB6">
        <w:rPr>
          <w:lang w:val="fi-FI"/>
        </w:rPr>
        <w:tab/>
        <w:t>OJ L 167, 27.6.2012, p. 1</w:t>
      </w:r>
      <w:r w:rsidR="00E67167" w:rsidRPr="00DF7AB6">
        <w:rPr>
          <w:lang w:val="fi-FI"/>
        </w:rPr>
        <w:t xml:space="preserve">, ELI: </w:t>
      </w:r>
      <w:hyperlink r:id="rId1" w:history="1">
        <w:r w:rsidR="00E67167" w:rsidRPr="00DF7AB6">
          <w:rPr>
            <w:rStyle w:val="Hyperlink"/>
            <w:lang w:val="fi-FI"/>
          </w:rPr>
          <w:t>http://data.europa.eu/eli/reg/2012/528/oj</w:t>
        </w:r>
      </w:hyperlink>
      <w:r w:rsidRPr="00DF7AB6">
        <w:rPr>
          <w:lang w:val="fi-FI"/>
        </w:rPr>
        <w:t>.</w:t>
      </w:r>
    </w:p>
  </w:footnote>
  <w:footnote w:id="3">
    <w:p w14:paraId="31A53CEA" w14:textId="1FE249AB" w:rsidR="00881B6B" w:rsidRPr="005A68D9" w:rsidRDefault="00881B6B" w:rsidP="00881B6B">
      <w:pPr>
        <w:pStyle w:val="FootnoteText"/>
        <w:rPr>
          <w:lang w:val="en-IE"/>
        </w:rPr>
      </w:pPr>
      <w:r w:rsidRPr="00300D70">
        <w:rPr>
          <w:rStyle w:val="FootnoteReference"/>
        </w:rPr>
        <w:footnoteRef/>
      </w:r>
      <w:r w:rsidRPr="00300D70">
        <w:tab/>
      </w:r>
      <w:r w:rsidRPr="00C21C2B">
        <w:rPr>
          <w:lang w:val="en-IE"/>
        </w:rPr>
        <w:t>Commission Delegated Regulation (EU) No 1062/2014 of 4 August 2014 on the work programme for the systematic examination of all existing active substances contained in biocidal products referred to in Regulation (EU) No 528/2012 of the European Parliament and of the Council</w:t>
      </w:r>
      <w:r>
        <w:rPr>
          <w:lang w:val="en-IE"/>
        </w:rPr>
        <w:t xml:space="preserve"> (</w:t>
      </w:r>
      <w:r w:rsidRPr="00C21C2B">
        <w:rPr>
          <w:lang w:val="en-IE"/>
        </w:rPr>
        <w:t>OJ L 294</w:t>
      </w:r>
      <w:r w:rsidR="0026613B">
        <w:rPr>
          <w:lang w:val="en-IE"/>
        </w:rPr>
        <w:t>,</w:t>
      </w:r>
      <w:r w:rsidRPr="00C21C2B">
        <w:rPr>
          <w:lang w:val="en-IE"/>
        </w:rPr>
        <w:t xml:space="preserve"> 10.10.2014, p. 1</w:t>
      </w:r>
      <w:r w:rsidR="00A34147">
        <w:rPr>
          <w:lang w:val="en-IE"/>
        </w:rPr>
        <w:t xml:space="preserve">, ELI: </w:t>
      </w:r>
      <w:hyperlink r:id="rId2" w:history="1">
        <w:r w:rsidR="00A34147" w:rsidRPr="00A27ACD">
          <w:rPr>
            <w:rStyle w:val="Hyperlink"/>
            <w:lang w:val="en-IE"/>
          </w:rPr>
          <w:t>http://data.europa.eu/eli/reg_del/2014/1062/oj</w:t>
        </w:r>
      </w:hyperlink>
      <w:r w:rsidRPr="00C21C2B">
        <w:rPr>
          <w:lang w:val="en-IE"/>
        </w:rPr>
        <w:t>)</w:t>
      </w:r>
      <w:r>
        <w:rPr>
          <w:lang w:val="en-IE"/>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3FA39" w14:textId="77777777" w:rsidR="00AC383B" w:rsidRPr="00AC383B" w:rsidRDefault="00AC383B" w:rsidP="00AC38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D950F" w14:textId="77777777" w:rsidR="00AC383B" w:rsidRPr="00AC383B" w:rsidRDefault="00AC383B" w:rsidP="00AC383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AAE12" w14:textId="77777777" w:rsidR="00AC383B" w:rsidRPr="00AC383B" w:rsidRDefault="00AC383B" w:rsidP="00AC383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CD97D" w14:textId="77777777" w:rsidR="00494B22" w:rsidRDefault="00494B2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F46E" w14:textId="77777777" w:rsidR="00494B22" w:rsidRDefault="00494B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D7E0384A"/>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71FAECA8"/>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52306878"/>
    <w:lvl w:ilvl="0">
      <w:start w:val="1"/>
      <w:numFmt w:val="decimal"/>
      <w:pStyle w:val="ListNumber2"/>
      <w:lvlText w:val="%1."/>
      <w:lvlJc w:val="left"/>
      <w:pPr>
        <w:tabs>
          <w:tab w:val="num" w:pos="643"/>
        </w:tabs>
        <w:ind w:left="643" w:hanging="360"/>
      </w:pPr>
    </w:lvl>
  </w:abstractNum>
  <w:abstractNum w:abstractNumId="3" w15:restartNumberingAfterBreak="0">
    <w:nsid w:val="FFFFFF81"/>
    <w:multiLevelType w:val="singleLevel"/>
    <w:tmpl w:val="1B248558"/>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C150ABFC"/>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1AA8E60C"/>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283A7D7E"/>
    <w:lvl w:ilvl="0">
      <w:start w:val="1"/>
      <w:numFmt w:val="decimal"/>
      <w:pStyle w:val="ListNumber"/>
      <w:lvlText w:val="%1."/>
      <w:lvlJc w:val="left"/>
      <w:pPr>
        <w:tabs>
          <w:tab w:val="num" w:pos="360"/>
        </w:tabs>
        <w:ind w:left="360" w:hanging="360"/>
      </w:pPr>
    </w:lvl>
  </w:abstractNum>
  <w:abstractNum w:abstractNumId="7" w15:restartNumberingAfterBreak="0">
    <w:nsid w:val="FFFFFF89"/>
    <w:multiLevelType w:val="singleLevel"/>
    <w:tmpl w:val="66C656CA"/>
    <w:lvl w:ilvl="0">
      <w:start w:val="1"/>
      <w:numFmt w:val="bullet"/>
      <w:pStyle w:val="ListBullet"/>
      <w:lvlText w:val=""/>
      <w:lvlJc w:val="left"/>
      <w:pPr>
        <w:tabs>
          <w:tab w:val="num" w:pos="360"/>
        </w:tabs>
        <w:ind w:left="360" w:hanging="360"/>
      </w:pPr>
      <w:rPr>
        <w:rFonts w:ascii="Symbol" w:hAnsi="Symbol"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decimal"/>
      <w:pStyle w:val="NumPar5"/>
      <w:lvlText w:val="%1.%2.%3.%4.%5."/>
      <w:lvlJc w:val="left"/>
      <w:pPr>
        <w:tabs>
          <w:tab w:val="num" w:pos="1417"/>
        </w:tabs>
        <w:ind w:left="1417" w:hanging="1417"/>
      </w:pPr>
    </w:lvl>
    <w:lvl w:ilvl="5">
      <w:start w:val="1"/>
      <w:numFmt w:val="decimal"/>
      <w:pStyle w:val="NumPar6"/>
      <w:lvlText w:val="%1.%2.%3.%4.%5.%6."/>
      <w:lvlJc w:val="left"/>
      <w:pPr>
        <w:tabs>
          <w:tab w:val="num" w:pos="1417"/>
        </w:tabs>
        <w:ind w:left="1417" w:hanging="1417"/>
      </w:pPr>
    </w:lvl>
    <w:lvl w:ilvl="6">
      <w:start w:val="1"/>
      <w:numFmt w:val="decimal"/>
      <w:pStyle w:val="NumPar7"/>
      <w:lvlText w:val="%1.%2.%3.%4.%5.%6.%7."/>
      <w:lvlJc w:val="left"/>
      <w:pPr>
        <w:tabs>
          <w:tab w:val="num" w:pos="1417"/>
        </w:tabs>
        <w:ind w:left="1417" w:hanging="1417"/>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1"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2"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3"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4" w15:restartNumberingAfterBreak="0">
    <w:nsid w:val="42FC077D"/>
    <w:multiLevelType w:val="singleLevel"/>
    <w:tmpl w:val="4128FD03"/>
    <w:name w:val="Tiret 5"/>
    <w:lvl w:ilvl="0">
      <w:start w:val="1"/>
      <w:numFmt w:val="bullet"/>
      <w:lvlRestart w:val="0"/>
      <w:pStyle w:val="Tiret5"/>
      <w:lvlText w:val="–"/>
      <w:lvlJc w:val="left"/>
      <w:pPr>
        <w:tabs>
          <w:tab w:val="num" w:pos="3685"/>
        </w:tabs>
        <w:ind w:left="3685" w:hanging="567"/>
      </w:pPr>
    </w:lvl>
  </w:abstractNum>
  <w:abstractNum w:abstractNumId="15"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6"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17"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18"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19"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0" w15:restartNumberingAfterBreak="0">
    <w:nsid w:val="64A12FA4"/>
    <w:multiLevelType w:val="multilevel"/>
    <w:tmpl w:val="428ECF3E"/>
    <w:name w:val="Heading"/>
    <w:lvl w:ilvl="0">
      <w:start w:val="1"/>
      <w:numFmt w:val="decimal"/>
      <w:lvlRestart w:val="0"/>
      <w:pStyle w:val="Heading1"/>
      <w:lvlText w:val="%1."/>
      <w:lvlJc w:val="left"/>
      <w:pPr>
        <w:tabs>
          <w:tab w:val="num" w:pos="850"/>
        </w:tabs>
        <w:ind w:left="850" w:hanging="850"/>
      </w:pPr>
    </w:lvl>
    <w:lvl w:ilvl="1">
      <w:start w:val="1"/>
      <w:numFmt w:val="decimal"/>
      <w:pStyle w:val="Heading2"/>
      <w:lvlText w:val="%1.%2."/>
      <w:lvlJc w:val="left"/>
      <w:pPr>
        <w:tabs>
          <w:tab w:val="num" w:pos="850"/>
        </w:tabs>
        <w:ind w:left="850" w:hanging="850"/>
      </w:pPr>
    </w:lvl>
    <w:lvl w:ilvl="2">
      <w:start w:val="1"/>
      <w:numFmt w:val="decimal"/>
      <w:pStyle w:val="Heading3"/>
      <w:lvlText w:val="%1.%2.%3."/>
      <w:lvlJc w:val="left"/>
      <w:pPr>
        <w:tabs>
          <w:tab w:val="num" w:pos="850"/>
        </w:tabs>
        <w:ind w:left="850" w:hanging="850"/>
      </w:pPr>
    </w:lvl>
    <w:lvl w:ilvl="3">
      <w:start w:val="1"/>
      <w:numFmt w:val="decimal"/>
      <w:pStyle w:val="Heading4"/>
      <w:lvlText w:val="%1.%2.%3.%4."/>
      <w:lvlJc w:val="left"/>
      <w:pPr>
        <w:tabs>
          <w:tab w:val="num" w:pos="850"/>
        </w:tabs>
        <w:ind w:left="850" w:hanging="850"/>
      </w:pPr>
    </w:lvl>
    <w:lvl w:ilvl="4">
      <w:start w:val="1"/>
      <w:numFmt w:val="decimal"/>
      <w:pStyle w:val="Heading5"/>
      <w:lvlText w:val="%1.%2.%3.%4.%5."/>
      <w:lvlJc w:val="left"/>
      <w:pPr>
        <w:tabs>
          <w:tab w:val="num" w:pos="1417"/>
        </w:tabs>
        <w:ind w:left="1417" w:hanging="1417"/>
      </w:pPr>
    </w:lvl>
    <w:lvl w:ilvl="5">
      <w:start w:val="1"/>
      <w:numFmt w:val="decimal"/>
      <w:pStyle w:val="Heading6"/>
      <w:lvlText w:val="%1.%2.%3.%4.%5.%6."/>
      <w:lvlJc w:val="left"/>
      <w:pPr>
        <w:tabs>
          <w:tab w:val="num" w:pos="1417"/>
        </w:tabs>
        <w:ind w:left="1417" w:hanging="1417"/>
      </w:pPr>
    </w:lvl>
    <w:lvl w:ilvl="6">
      <w:start w:val="1"/>
      <w:numFmt w:val="decimal"/>
      <w:pStyle w:val="Heading7"/>
      <w:lvlText w:val="%1.%2.%3.%4.%5.%6.%7."/>
      <w:lvlJc w:val="left"/>
      <w:pPr>
        <w:tabs>
          <w:tab w:val="num" w:pos="1417"/>
        </w:tabs>
        <w:ind w:left="1417" w:hanging="1417"/>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2"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16cid:durableId="149948746">
    <w:abstractNumId w:val="7"/>
  </w:num>
  <w:num w:numId="2" w16cid:durableId="331763814">
    <w:abstractNumId w:val="5"/>
  </w:num>
  <w:num w:numId="3" w16cid:durableId="1039353023">
    <w:abstractNumId w:val="4"/>
  </w:num>
  <w:num w:numId="4" w16cid:durableId="1111047617">
    <w:abstractNumId w:val="3"/>
  </w:num>
  <w:num w:numId="5" w16cid:durableId="1975745184">
    <w:abstractNumId w:val="22"/>
    <w:lvlOverride w:ilvl="0">
      <w:startOverride w:val="1"/>
    </w:lvlOverride>
  </w:num>
  <w:num w:numId="6" w16cid:durableId="390269817">
    <w:abstractNumId w:val="6"/>
  </w:num>
  <w:num w:numId="7" w16cid:durableId="818889600">
    <w:abstractNumId w:val="2"/>
  </w:num>
  <w:num w:numId="8" w16cid:durableId="1759515882">
    <w:abstractNumId w:val="1"/>
  </w:num>
  <w:num w:numId="9" w16cid:durableId="768618268">
    <w:abstractNumId w:val="0"/>
  </w:num>
  <w:num w:numId="10" w16cid:durableId="1092703606">
    <w:abstractNumId w:val="22"/>
  </w:num>
  <w:num w:numId="11" w16cid:durableId="2089693441">
    <w:abstractNumId w:val="19"/>
  </w:num>
  <w:num w:numId="12" w16cid:durableId="1693998065">
    <w:abstractNumId w:val="12"/>
  </w:num>
  <w:num w:numId="13" w16cid:durableId="788817884">
    <w:abstractNumId w:val="21"/>
  </w:num>
  <w:num w:numId="14" w16cid:durableId="1535464848">
    <w:abstractNumId w:val="11"/>
  </w:num>
  <w:num w:numId="15" w16cid:durableId="639657071">
    <w:abstractNumId w:val="13"/>
  </w:num>
  <w:num w:numId="16" w16cid:durableId="361050661">
    <w:abstractNumId w:val="14"/>
  </w:num>
  <w:num w:numId="17" w16cid:durableId="472790552">
    <w:abstractNumId w:val="9"/>
  </w:num>
  <w:num w:numId="18" w16cid:durableId="384646725">
    <w:abstractNumId w:val="20"/>
  </w:num>
  <w:num w:numId="19" w16cid:durableId="2031682509">
    <w:abstractNumId w:val="8"/>
  </w:num>
  <w:num w:numId="20" w16cid:durableId="150604668">
    <w:abstractNumId w:val="15"/>
  </w:num>
  <w:num w:numId="21" w16cid:durableId="472332852">
    <w:abstractNumId w:val="17"/>
  </w:num>
  <w:num w:numId="22" w16cid:durableId="1298296966">
    <w:abstractNumId w:val="18"/>
  </w:num>
  <w:num w:numId="23" w16cid:durableId="1306230484">
    <w:abstractNumId w:val="10"/>
  </w:num>
  <w:num w:numId="24" w16cid:durableId="24066917">
    <w:abstractNumId w:val="16"/>
  </w:num>
  <w:num w:numId="25" w16cid:durableId="485436588">
    <w:abstractNumId w:val="22"/>
  </w:num>
  <w:num w:numId="26" w16cid:durableId="2089693441">
    <w:abstractNumId w:val="19"/>
  </w:num>
  <w:num w:numId="27" w16cid:durableId="1693998065">
    <w:abstractNumId w:val="12"/>
  </w:num>
  <w:num w:numId="28" w16cid:durableId="788817884">
    <w:abstractNumId w:val="21"/>
  </w:num>
  <w:num w:numId="29" w16cid:durableId="1535464848">
    <w:abstractNumId w:val="11"/>
  </w:num>
  <w:num w:numId="30" w16cid:durableId="639657071">
    <w:abstractNumId w:val="13"/>
  </w:num>
  <w:num w:numId="31" w16cid:durableId="361050661">
    <w:abstractNumId w:val="14"/>
  </w:num>
  <w:num w:numId="32" w16cid:durableId="472790552">
    <w:abstractNumId w:val="9"/>
  </w:num>
  <w:num w:numId="33" w16cid:durableId="384646725">
    <w:abstractNumId w:val="20"/>
  </w:num>
  <w:num w:numId="34" w16cid:durableId="2031682509">
    <w:abstractNumId w:val="8"/>
  </w:num>
  <w:num w:numId="35" w16cid:durableId="150604668">
    <w:abstractNumId w:val="15"/>
  </w:num>
  <w:num w:numId="36" w16cid:durableId="472332852">
    <w:abstractNumId w:val="17"/>
  </w:num>
  <w:num w:numId="37" w16cid:durableId="1298296966">
    <w:abstractNumId w:val="18"/>
  </w:num>
  <w:num w:numId="38" w16cid:durableId="1306230484">
    <w:abstractNumId w:val="10"/>
  </w:num>
  <w:num w:numId="39" w16cid:durableId="24066917">
    <w:abstractNumId w:val="16"/>
  </w:num>
  <w:num w:numId="40" w16cid:durableId="485436588">
    <w:abstractNumId w:val="2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hyphenationZone w:val="425"/>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R_RefLast" w:val="0"/>
    <w:docVar w:name="DQCDateTime" w:val="2026-03-25 16:25:36"/>
    <w:docVar w:name="DQCResult_Distribution" w:val="0;0"/>
    <w:docVar w:name="DQCResult_DocumentContent" w:val="0;0"/>
    <w:docVar w:name="DQCResult_DocumentSize" w:val="0;0"/>
    <w:docVar w:name="DQCResult_InvalidFootnotes" w:val="0;0"/>
    <w:docVar w:name="DQCResult_ModifiedMarkers" w:val="0;0"/>
    <w:docVar w:name="DQCResult_ModifiedNumbering" w:val="0;0"/>
    <w:docVar w:name="DQCResult_Objects" w:val="0;0"/>
    <w:docVar w:name="DQCResult_StructureCheck" w:val="0;0"/>
    <w:docVar w:name="DQCStatus" w:val="Green"/>
    <w:docVar w:name="DQCVersion" w:val="3"/>
    <w:docVar w:name="DQCWithWarnings" w:val="0"/>
    <w:docVar w:name="LW_CORRIGENDUM" w:val="&lt;UNUSED&gt;"/>
    <w:docVar w:name="LW_COVERPAGE_EXISTS" w:val="True"/>
    <w:docVar w:name="LW_COVERPAGE_GUID" w:val="38B7919B-0EE9-4333-82A8-0D24E06748FD"/>
    <w:docVar w:name="LW_COVERPAGE_TYPE" w:val="1"/>
    <w:docVar w:name="LW_CROSSREFERENCE" w:val="&lt;UNUSED&gt;"/>
    <w:docVar w:name="LW_DATE.ADOPT.CP" w:val="of XXX"/>
    <w:docVar w:name="LW_DATE.ADOPT.CP_DATEFORMAT" w:val="of %DATE%"/>
    <w:docVar w:name="LW_DATE.ADOPT.CP_ISODATE" w:val="&lt;EMPTY&gt;"/>
    <w:docVar w:name="LW_DocType" w:val="COM"/>
    <w:docVar w:name="LW_EMISSION" w:val="&lt;EMPTY&gt;"/>
    <w:docVar w:name="LW_EMISSION_ISODATE" w:val="&lt;EMPTY&gt;"/>
    <w:docVar w:name="LW_EMISSION_LOCATION" w:val="BRX"/>
    <w:docVar w:name="LW_EMISSION_PREFIX" w:val="Brussels, "/>
    <w:docVar w:name="LW_EMISSION_SUFFIX" w:val=" "/>
    <w:docVar w:name="LW_ID_DOCMODEL" w:val="SJ-009"/>
    <w:docVar w:name="LW_ID_DOCSIGNATURE" w:val="SJ-009"/>
    <w:docVar w:name="LW_ID_DOCSTRUCTURE" w:val="COM/AA"/>
    <w:docVar w:name="LW_ID_DOCTYPE" w:val="SJ-009"/>
    <w:docVar w:name="LW_INTERETEEE.CP" w:val="&lt;UNUSED&gt;"/>
    <w:docVar w:name="LW_LANGUE" w:val="EN"/>
    <w:docVar w:name="LW_LANGUESFAISANTFOI.CP" w:val="(Only the Polish text is authentic)"/>
    <w:docVar w:name="LW_LEVEL_OF_SENSITIVITY" w:val="Standard treatment"/>
    <w:docVar w:name="LW_NOM.INST" w:val="EUROPEAN COMMISSION"/>
    <w:docVar w:name="LW_NOM.INST_JOINTDOC" w:val="&lt;EMPTY&gt;"/>
    <w:docVar w:name="LW_PART_NBR" w:val="1"/>
    <w:docVar w:name="LW_PART_NBR_TOTAL" w:val="1"/>
    <w:docVar w:name="LW_REF.INST.NEW" w:val="&lt;EMPTY&gt;"/>
    <w:docVar w:name="LW_REF.INST.NEW_ADOPTED" w:val="draft"/>
    <w:docVar w:name="LW_REF.INST.NEW_TEXT" w:val="(2026) XXX"/>
    <w:docVar w:name="LW_REF.INTERNE" w:val="PLAN/2026/320  (POOL/E4/2026/320/320-EN CIS.docx)"/>
    <w:docVar w:name="LW_SENSITIVITY" w:val="&lt;?xml version=&quot;1.0&quot; encoding=&quot;utf-8&quot;?&gt;_x000d__x000a_&lt;SensitivityLevel xmlns:xsd=&quot;http://www.w3.org/2001/XMLSchema&quot; xmlns:xsi=&quot;http://www.w3.org/2001/XMLSchema-instance&quot; id=&quot;standard&quot;&gt;_x000d__x000a_  &lt;nicename EN=&quot;Standard treatment&quot; FR=&quot;Traitement standard&quot; /&gt;_x000d__x000a_  &lt;documentProperty&gt;Standard treatment&lt;/documentProperty&gt;_x000d__x000a_  &lt;markingConfig isAvailable=&quot;false&quot; isMandatory=&quot;false&quot; sensitiveMarkingMandatory=&quot;false&quot; specialMarkingMandatory=&quot;true&quot; isOptionDisplayInHeaderAvailable=&quot;true&quot; sensitiveMarkingListSee=&quot;SensitiveMarkings&quot; specialMarkingListSee=&quot;SpecialMarkings&quot; sensitiveFootnoteTextSee=&quot;sensitiveFootnote&quot; specialFootnoteTextSee=&quot;specialFootnote&quot; /&gt;_x000d__x000a_  &lt;chosenMainMarking xsi:nil=&quot;true&quot; /&gt;_x000d__x000a_  &lt;dateMarking xsi:nil=&quot;true&quot; /&gt;_x000d__x000a_  &lt;releasableToConfig isAvailable=&quot;false&quot; institutionListSee=&quot;DefaultInstitutions&quot; /&gt;_x000d__x000a_  &lt;chosenReleasableTo xsi:nil=&quot;true&quot; /&gt;_x000d__x000a_  &lt;detached xsi:nil=&quot;true&quot; /&gt;_x000d__x000a_  &lt;declassify xsi:nil=&quot;true&quot; /&gt;_x000d__x000a_  &lt;headerTexts xsi:nil=&quot;true&quot; /&gt;_x000d__x000a_  &lt;footerTexts xsi:nil=&quot;true&quot; /&gt;_x000d__x000a_  &lt;isRestricted&gt;false&lt;/isRestricted&gt;_x000d__x000a_&lt;/SensitivityLevel&gt;"/>
    <w:docVar w:name="LW_SUPERTITRE" w:val="&lt;UNUSED&gt;"/>
    <w:docVar w:name="LW_TITRE.OBJ.CP" w:val="concerning the extension of the action taken by the Polish Office for Registration of Medicinal Products, Medical Devices and Biocidal Products permitting the making available on the market and use of the biocidal product Biobor JF in accordance with Regulation (EU) No 528/2012 of the European Parliament and of the Council"/>
    <w:docVar w:name="LW_TYPE.DOC.CP" w:val="COMMISSION IMPLEMENTING DECISION"/>
  </w:docVars>
  <w:rsids>
    <w:rsidRoot w:val="00F728BD"/>
    <w:rsid w:val="00000306"/>
    <w:rsid w:val="00000705"/>
    <w:rsid w:val="00001DB4"/>
    <w:rsid w:val="00002E10"/>
    <w:rsid w:val="00003113"/>
    <w:rsid w:val="00005C92"/>
    <w:rsid w:val="000062FC"/>
    <w:rsid w:val="00006581"/>
    <w:rsid w:val="0001287B"/>
    <w:rsid w:val="00023CFC"/>
    <w:rsid w:val="00023E45"/>
    <w:rsid w:val="00026D8C"/>
    <w:rsid w:val="00027BA3"/>
    <w:rsid w:val="00031724"/>
    <w:rsid w:val="000354CE"/>
    <w:rsid w:val="000403B7"/>
    <w:rsid w:val="000405D3"/>
    <w:rsid w:val="00042AB1"/>
    <w:rsid w:val="000472A3"/>
    <w:rsid w:val="00050B3D"/>
    <w:rsid w:val="0005297C"/>
    <w:rsid w:val="0005586D"/>
    <w:rsid w:val="00056EA7"/>
    <w:rsid w:val="0005746D"/>
    <w:rsid w:val="000660B0"/>
    <w:rsid w:val="00066B72"/>
    <w:rsid w:val="00067325"/>
    <w:rsid w:val="00073B9F"/>
    <w:rsid w:val="000768E1"/>
    <w:rsid w:val="00077A75"/>
    <w:rsid w:val="00077B87"/>
    <w:rsid w:val="00090045"/>
    <w:rsid w:val="000906AD"/>
    <w:rsid w:val="00091806"/>
    <w:rsid w:val="000A0F30"/>
    <w:rsid w:val="000A209C"/>
    <w:rsid w:val="000A7517"/>
    <w:rsid w:val="000B40C5"/>
    <w:rsid w:val="000B42D0"/>
    <w:rsid w:val="000B78C6"/>
    <w:rsid w:val="000C0306"/>
    <w:rsid w:val="000C42A7"/>
    <w:rsid w:val="000C5A08"/>
    <w:rsid w:val="000E198E"/>
    <w:rsid w:val="000E2311"/>
    <w:rsid w:val="000E439D"/>
    <w:rsid w:val="000E4CFA"/>
    <w:rsid w:val="000F4810"/>
    <w:rsid w:val="00102786"/>
    <w:rsid w:val="001029E5"/>
    <w:rsid w:val="00102DAB"/>
    <w:rsid w:val="001036FE"/>
    <w:rsid w:val="00106560"/>
    <w:rsid w:val="00110360"/>
    <w:rsid w:val="00110E32"/>
    <w:rsid w:val="0011109A"/>
    <w:rsid w:val="0012595F"/>
    <w:rsid w:val="00131E4C"/>
    <w:rsid w:val="00133A1A"/>
    <w:rsid w:val="001350DD"/>
    <w:rsid w:val="00140B35"/>
    <w:rsid w:val="00141226"/>
    <w:rsid w:val="00146841"/>
    <w:rsid w:val="00164E9D"/>
    <w:rsid w:val="0016545D"/>
    <w:rsid w:val="00172FA0"/>
    <w:rsid w:val="00175234"/>
    <w:rsid w:val="00191BEB"/>
    <w:rsid w:val="00193764"/>
    <w:rsid w:val="00195491"/>
    <w:rsid w:val="00196A49"/>
    <w:rsid w:val="001A04C9"/>
    <w:rsid w:val="001A0502"/>
    <w:rsid w:val="001A1B06"/>
    <w:rsid w:val="001A7D41"/>
    <w:rsid w:val="001B0230"/>
    <w:rsid w:val="001B1B0F"/>
    <w:rsid w:val="001B24F3"/>
    <w:rsid w:val="001B2624"/>
    <w:rsid w:val="001B7049"/>
    <w:rsid w:val="001C2816"/>
    <w:rsid w:val="001C50E2"/>
    <w:rsid w:val="001C6ABC"/>
    <w:rsid w:val="001D15F1"/>
    <w:rsid w:val="001D3516"/>
    <w:rsid w:val="001D4F67"/>
    <w:rsid w:val="001E3572"/>
    <w:rsid w:val="001F75A7"/>
    <w:rsid w:val="00200E60"/>
    <w:rsid w:val="0020150A"/>
    <w:rsid w:val="002050D7"/>
    <w:rsid w:val="0021281B"/>
    <w:rsid w:val="0021468E"/>
    <w:rsid w:val="002148FB"/>
    <w:rsid w:val="002152B2"/>
    <w:rsid w:val="00221922"/>
    <w:rsid w:val="00230096"/>
    <w:rsid w:val="00231B29"/>
    <w:rsid w:val="00232F5E"/>
    <w:rsid w:val="002331DF"/>
    <w:rsid w:val="002354EB"/>
    <w:rsid w:val="00235919"/>
    <w:rsid w:val="00244618"/>
    <w:rsid w:val="00251ACF"/>
    <w:rsid w:val="0025358F"/>
    <w:rsid w:val="00263074"/>
    <w:rsid w:val="002635B7"/>
    <w:rsid w:val="0026520F"/>
    <w:rsid w:val="0026528F"/>
    <w:rsid w:val="0026613B"/>
    <w:rsid w:val="00266718"/>
    <w:rsid w:val="00267CCC"/>
    <w:rsid w:val="00270873"/>
    <w:rsid w:val="00273B10"/>
    <w:rsid w:val="002741E0"/>
    <w:rsid w:val="002763ED"/>
    <w:rsid w:val="00281F0D"/>
    <w:rsid w:val="00282A5A"/>
    <w:rsid w:val="00282D33"/>
    <w:rsid w:val="00290A3B"/>
    <w:rsid w:val="0029242D"/>
    <w:rsid w:val="0029568D"/>
    <w:rsid w:val="002967F6"/>
    <w:rsid w:val="002A0811"/>
    <w:rsid w:val="002A08C6"/>
    <w:rsid w:val="002A60F4"/>
    <w:rsid w:val="002A76A9"/>
    <w:rsid w:val="002B27BE"/>
    <w:rsid w:val="002B647A"/>
    <w:rsid w:val="002C3880"/>
    <w:rsid w:val="002C3FC8"/>
    <w:rsid w:val="002C55DD"/>
    <w:rsid w:val="002C5D09"/>
    <w:rsid w:val="002C617B"/>
    <w:rsid w:val="002D5024"/>
    <w:rsid w:val="002D5B24"/>
    <w:rsid w:val="002E30DD"/>
    <w:rsid w:val="002E5BAF"/>
    <w:rsid w:val="002F178D"/>
    <w:rsid w:val="002F3468"/>
    <w:rsid w:val="00302230"/>
    <w:rsid w:val="00303CCA"/>
    <w:rsid w:val="0031063C"/>
    <w:rsid w:val="003106C3"/>
    <w:rsid w:val="00311975"/>
    <w:rsid w:val="00312EA5"/>
    <w:rsid w:val="00314740"/>
    <w:rsid w:val="003278DE"/>
    <w:rsid w:val="00332AD6"/>
    <w:rsid w:val="00340BAC"/>
    <w:rsid w:val="003458FA"/>
    <w:rsid w:val="00350492"/>
    <w:rsid w:val="003548EB"/>
    <w:rsid w:val="003557D7"/>
    <w:rsid w:val="00363A01"/>
    <w:rsid w:val="00366034"/>
    <w:rsid w:val="003671AE"/>
    <w:rsid w:val="00373BAC"/>
    <w:rsid w:val="00375B11"/>
    <w:rsid w:val="00376803"/>
    <w:rsid w:val="00377AF1"/>
    <w:rsid w:val="00391EDF"/>
    <w:rsid w:val="00392055"/>
    <w:rsid w:val="00393CDC"/>
    <w:rsid w:val="003A1CF1"/>
    <w:rsid w:val="003A64C3"/>
    <w:rsid w:val="003A7069"/>
    <w:rsid w:val="003A7DD4"/>
    <w:rsid w:val="003B2CF6"/>
    <w:rsid w:val="003B2E46"/>
    <w:rsid w:val="003B6B09"/>
    <w:rsid w:val="003C1A6A"/>
    <w:rsid w:val="003C4B6F"/>
    <w:rsid w:val="003C5439"/>
    <w:rsid w:val="003E09CD"/>
    <w:rsid w:val="003E2682"/>
    <w:rsid w:val="003F48D2"/>
    <w:rsid w:val="003F7012"/>
    <w:rsid w:val="00404E89"/>
    <w:rsid w:val="00407CE5"/>
    <w:rsid w:val="00422587"/>
    <w:rsid w:val="00422985"/>
    <w:rsid w:val="00425130"/>
    <w:rsid w:val="00425C6E"/>
    <w:rsid w:val="004324FB"/>
    <w:rsid w:val="004358F7"/>
    <w:rsid w:val="00460440"/>
    <w:rsid w:val="00463680"/>
    <w:rsid w:val="00466B48"/>
    <w:rsid w:val="00472C20"/>
    <w:rsid w:val="00473104"/>
    <w:rsid w:val="00473DF2"/>
    <w:rsid w:val="00476EE3"/>
    <w:rsid w:val="00477883"/>
    <w:rsid w:val="00477EFC"/>
    <w:rsid w:val="004842E4"/>
    <w:rsid w:val="004907E2"/>
    <w:rsid w:val="00493F37"/>
    <w:rsid w:val="00494B22"/>
    <w:rsid w:val="004A2FCA"/>
    <w:rsid w:val="004B7136"/>
    <w:rsid w:val="004C0725"/>
    <w:rsid w:val="004C20FE"/>
    <w:rsid w:val="004D1EA0"/>
    <w:rsid w:val="004D2FE1"/>
    <w:rsid w:val="004D3715"/>
    <w:rsid w:val="004D3847"/>
    <w:rsid w:val="004D65EF"/>
    <w:rsid w:val="004E0263"/>
    <w:rsid w:val="004E756A"/>
    <w:rsid w:val="004F57E9"/>
    <w:rsid w:val="00500F2F"/>
    <w:rsid w:val="00504900"/>
    <w:rsid w:val="00504A8B"/>
    <w:rsid w:val="00507C39"/>
    <w:rsid w:val="00507D92"/>
    <w:rsid w:val="00512A28"/>
    <w:rsid w:val="00513322"/>
    <w:rsid w:val="0051461B"/>
    <w:rsid w:val="00521921"/>
    <w:rsid w:val="00522BE9"/>
    <w:rsid w:val="00526884"/>
    <w:rsid w:val="00527390"/>
    <w:rsid w:val="00532819"/>
    <w:rsid w:val="00535EA1"/>
    <w:rsid w:val="00555ACF"/>
    <w:rsid w:val="00555F7D"/>
    <w:rsid w:val="00556A6B"/>
    <w:rsid w:val="0055785E"/>
    <w:rsid w:val="005605F7"/>
    <w:rsid w:val="00563394"/>
    <w:rsid w:val="00572AA8"/>
    <w:rsid w:val="00575656"/>
    <w:rsid w:val="00577C86"/>
    <w:rsid w:val="0058125D"/>
    <w:rsid w:val="0058510F"/>
    <w:rsid w:val="0058773D"/>
    <w:rsid w:val="00590C2A"/>
    <w:rsid w:val="005931B4"/>
    <w:rsid w:val="00596348"/>
    <w:rsid w:val="00596C72"/>
    <w:rsid w:val="005A0011"/>
    <w:rsid w:val="005A2FED"/>
    <w:rsid w:val="005A68D9"/>
    <w:rsid w:val="005B0A9B"/>
    <w:rsid w:val="005B234C"/>
    <w:rsid w:val="005C218C"/>
    <w:rsid w:val="005C2BED"/>
    <w:rsid w:val="005C455B"/>
    <w:rsid w:val="005C45EF"/>
    <w:rsid w:val="005D17DA"/>
    <w:rsid w:val="005D2607"/>
    <w:rsid w:val="005D3510"/>
    <w:rsid w:val="005E23CB"/>
    <w:rsid w:val="005E40A4"/>
    <w:rsid w:val="005E4563"/>
    <w:rsid w:val="005E7E49"/>
    <w:rsid w:val="005F0F9A"/>
    <w:rsid w:val="005F4EC7"/>
    <w:rsid w:val="005F69EC"/>
    <w:rsid w:val="00600045"/>
    <w:rsid w:val="0060398A"/>
    <w:rsid w:val="006159DC"/>
    <w:rsid w:val="00621899"/>
    <w:rsid w:val="006322C9"/>
    <w:rsid w:val="00632431"/>
    <w:rsid w:val="006413AB"/>
    <w:rsid w:val="00643E76"/>
    <w:rsid w:val="00650696"/>
    <w:rsid w:val="006520EE"/>
    <w:rsid w:val="00656159"/>
    <w:rsid w:val="00656461"/>
    <w:rsid w:val="00657549"/>
    <w:rsid w:val="006634DC"/>
    <w:rsid w:val="0066434E"/>
    <w:rsid w:val="00665850"/>
    <w:rsid w:val="00671D7C"/>
    <w:rsid w:val="00673301"/>
    <w:rsid w:val="00673AA7"/>
    <w:rsid w:val="006746F5"/>
    <w:rsid w:val="00674FCB"/>
    <w:rsid w:val="006772EE"/>
    <w:rsid w:val="00677F7D"/>
    <w:rsid w:val="00680664"/>
    <w:rsid w:val="00681BB5"/>
    <w:rsid w:val="00682EA6"/>
    <w:rsid w:val="00683091"/>
    <w:rsid w:val="00685C48"/>
    <w:rsid w:val="006868E4"/>
    <w:rsid w:val="00696579"/>
    <w:rsid w:val="0069748F"/>
    <w:rsid w:val="0069759D"/>
    <w:rsid w:val="006A109A"/>
    <w:rsid w:val="006A2A36"/>
    <w:rsid w:val="006A4714"/>
    <w:rsid w:val="006A6CBF"/>
    <w:rsid w:val="006A737B"/>
    <w:rsid w:val="006B0520"/>
    <w:rsid w:val="006B50BC"/>
    <w:rsid w:val="006B619F"/>
    <w:rsid w:val="006C2ABF"/>
    <w:rsid w:val="006C56AB"/>
    <w:rsid w:val="006C6D4C"/>
    <w:rsid w:val="006D15A2"/>
    <w:rsid w:val="006D1714"/>
    <w:rsid w:val="006D7A88"/>
    <w:rsid w:val="006E597C"/>
    <w:rsid w:val="006E6653"/>
    <w:rsid w:val="006E67C0"/>
    <w:rsid w:val="006F06F4"/>
    <w:rsid w:val="006F1E9F"/>
    <w:rsid w:val="006F2A9D"/>
    <w:rsid w:val="006F6FE8"/>
    <w:rsid w:val="0070128F"/>
    <w:rsid w:val="00704F77"/>
    <w:rsid w:val="0070522F"/>
    <w:rsid w:val="007108B4"/>
    <w:rsid w:val="00710C2A"/>
    <w:rsid w:val="00711099"/>
    <w:rsid w:val="00711AAE"/>
    <w:rsid w:val="00717924"/>
    <w:rsid w:val="00717E05"/>
    <w:rsid w:val="00721F6E"/>
    <w:rsid w:val="00723314"/>
    <w:rsid w:val="00725B41"/>
    <w:rsid w:val="00731B54"/>
    <w:rsid w:val="00735F92"/>
    <w:rsid w:val="0073668C"/>
    <w:rsid w:val="007375F0"/>
    <w:rsid w:val="00737A7C"/>
    <w:rsid w:val="007407C6"/>
    <w:rsid w:val="007408D5"/>
    <w:rsid w:val="00742839"/>
    <w:rsid w:val="0074695B"/>
    <w:rsid w:val="00746CD0"/>
    <w:rsid w:val="00752550"/>
    <w:rsid w:val="00753638"/>
    <w:rsid w:val="00753F1D"/>
    <w:rsid w:val="007545B3"/>
    <w:rsid w:val="00757280"/>
    <w:rsid w:val="0076191D"/>
    <w:rsid w:val="00765151"/>
    <w:rsid w:val="00765B61"/>
    <w:rsid w:val="00766EC5"/>
    <w:rsid w:val="007715A3"/>
    <w:rsid w:val="007773E0"/>
    <w:rsid w:val="00781E31"/>
    <w:rsid w:val="00782316"/>
    <w:rsid w:val="007911FD"/>
    <w:rsid w:val="00791C64"/>
    <w:rsid w:val="007B1B3A"/>
    <w:rsid w:val="007B5A41"/>
    <w:rsid w:val="007C06F6"/>
    <w:rsid w:val="007C3B48"/>
    <w:rsid w:val="007C7747"/>
    <w:rsid w:val="007D0336"/>
    <w:rsid w:val="007D6CCF"/>
    <w:rsid w:val="007E3A37"/>
    <w:rsid w:val="007E4920"/>
    <w:rsid w:val="007F2403"/>
    <w:rsid w:val="007F5188"/>
    <w:rsid w:val="007F529E"/>
    <w:rsid w:val="00800343"/>
    <w:rsid w:val="00800B94"/>
    <w:rsid w:val="0080128F"/>
    <w:rsid w:val="00802601"/>
    <w:rsid w:val="008038C0"/>
    <w:rsid w:val="00804085"/>
    <w:rsid w:val="00804527"/>
    <w:rsid w:val="00805418"/>
    <w:rsid w:val="00805EAC"/>
    <w:rsid w:val="00806C0D"/>
    <w:rsid w:val="0080753F"/>
    <w:rsid w:val="00815FDE"/>
    <w:rsid w:val="00820F37"/>
    <w:rsid w:val="0082245F"/>
    <w:rsid w:val="008306AC"/>
    <w:rsid w:val="0083248C"/>
    <w:rsid w:val="008333C0"/>
    <w:rsid w:val="008336B3"/>
    <w:rsid w:val="00840010"/>
    <w:rsid w:val="00840DC9"/>
    <w:rsid w:val="0084181F"/>
    <w:rsid w:val="00854986"/>
    <w:rsid w:val="00856478"/>
    <w:rsid w:val="00856D28"/>
    <w:rsid w:val="00856E81"/>
    <w:rsid w:val="00860451"/>
    <w:rsid w:val="008615BD"/>
    <w:rsid w:val="00862A45"/>
    <w:rsid w:val="00862FDD"/>
    <w:rsid w:val="008809D0"/>
    <w:rsid w:val="00881093"/>
    <w:rsid w:val="00881B6B"/>
    <w:rsid w:val="00881CA9"/>
    <w:rsid w:val="00881DB7"/>
    <w:rsid w:val="00883060"/>
    <w:rsid w:val="00884EA5"/>
    <w:rsid w:val="008915C2"/>
    <w:rsid w:val="008A3215"/>
    <w:rsid w:val="008B2907"/>
    <w:rsid w:val="008B4B18"/>
    <w:rsid w:val="008B5A60"/>
    <w:rsid w:val="008B5BD2"/>
    <w:rsid w:val="008B5E7C"/>
    <w:rsid w:val="008C0E6F"/>
    <w:rsid w:val="008C3761"/>
    <w:rsid w:val="008C7213"/>
    <w:rsid w:val="008D2DD1"/>
    <w:rsid w:val="008E6FA4"/>
    <w:rsid w:val="008F22F8"/>
    <w:rsid w:val="008F2BCC"/>
    <w:rsid w:val="008F51C5"/>
    <w:rsid w:val="008F6631"/>
    <w:rsid w:val="00904E24"/>
    <w:rsid w:val="00911454"/>
    <w:rsid w:val="00912761"/>
    <w:rsid w:val="009175B4"/>
    <w:rsid w:val="00920EDD"/>
    <w:rsid w:val="00921B13"/>
    <w:rsid w:val="00930816"/>
    <w:rsid w:val="00930971"/>
    <w:rsid w:val="00931E4B"/>
    <w:rsid w:val="00934377"/>
    <w:rsid w:val="00936C1C"/>
    <w:rsid w:val="00937B8F"/>
    <w:rsid w:val="00942026"/>
    <w:rsid w:val="0094395A"/>
    <w:rsid w:val="0095390C"/>
    <w:rsid w:val="009632F7"/>
    <w:rsid w:val="009634F4"/>
    <w:rsid w:val="00965C0D"/>
    <w:rsid w:val="00983191"/>
    <w:rsid w:val="00986B33"/>
    <w:rsid w:val="00987AD5"/>
    <w:rsid w:val="00994015"/>
    <w:rsid w:val="009979B7"/>
    <w:rsid w:val="009A50E1"/>
    <w:rsid w:val="009A7055"/>
    <w:rsid w:val="009A72F4"/>
    <w:rsid w:val="009B04F1"/>
    <w:rsid w:val="009B7138"/>
    <w:rsid w:val="009C14E0"/>
    <w:rsid w:val="009C7C21"/>
    <w:rsid w:val="009D0151"/>
    <w:rsid w:val="009D054E"/>
    <w:rsid w:val="009D13AC"/>
    <w:rsid w:val="009D221A"/>
    <w:rsid w:val="009D7E35"/>
    <w:rsid w:val="009E060E"/>
    <w:rsid w:val="009E0B87"/>
    <w:rsid w:val="009E4331"/>
    <w:rsid w:val="009E4B41"/>
    <w:rsid w:val="009F2994"/>
    <w:rsid w:val="009F4E12"/>
    <w:rsid w:val="00A01DCA"/>
    <w:rsid w:val="00A02729"/>
    <w:rsid w:val="00A04D58"/>
    <w:rsid w:val="00A05792"/>
    <w:rsid w:val="00A22065"/>
    <w:rsid w:val="00A24562"/>
    <w:rsid w:val="00A25415"/>
    <w:rsid w:val="00A27824"/>
    <w:rsid w:val="00A32800"/>
    <w:rsid w:val="00A34147"/>
    <w:rsid w:val="00A36BF4"/>
    <w:rsid w:val="00A36E61"/>
    <w:rsid w:val="00A45869"/>
    <w:rsid w:val="00A532E2"/>
    <w:rsid w:val="00A53753"/>
    <w:rsid w:val="00A66C76"/>
    <w:rsid w:val="00A707EC"/>
    <w:rsid w:val="00A7586F"/>
    <w:rsid w:val="00A773EC"/>
    <w:rsid w:val="00A8154E"/>
    <w:rsid w:val="00A81EC0"/>
    <w:rsid w:val="00A82637"/>
    <w:rsid w:val="00A90217"/>
    <w:rsid w:val="00A97C08"/>
    <w:rsid w:val="00A97E9E"/>
    <w:rsid w:val="00AA2ACB"/>
    <w:rsid w:val="00AA2D90"/>
    <w:rsid w:val="00AA315A"/>
    <w:rsid w:val="00AB2C91"/>
    <w:rsid w:val="00AC0CD1"/>
    <w:rsid w:val="00AC383B"/>
    <w:rsid w:val="00AC57A9"/>
    <w:rsid w:val="00AC5C3B"/>
    <w:rsid w:val="00AD0821"/>
    <w:rsid w:val="00AD34BD"/>
    <w:rsid w:val="00AD598A"/>
    <w:rsid w:val="00AE28CD"/>
    <w:rsid w:val="00AE42E7"/>
    <w:rsid w:val="00AF0820"/>
    <w:rsid w:val="00AF0CC3"/>
    <w:rsid w:val="00AF5A4C"/>
    <w:rsid w:val="00AF747A"/>
    <w:rsid w:val="00B0652A"/>
    <w:rsid w:val="00B071D9"/>
    <w:rsid w:val="00B079C8"/>
    <w:rsid w:val="00B23416"/>
    <w:rsid w:val="00B2785B"/>
    <w:rsid w:val="00B3140B"/>
    <w:rsid w:val="00B352EB"/>
    <w:rsid w:val="00B37BC7"/>
    <w:rsid w:val="00B456F1"/>
    <w:rsid w:val="00B50FC9"/>
    <w:rsid w:val="00B53AE5"/>
    <w:rsid w:val="00B62DD9"/>
    <w:rsid w:val="00B666BD"/>
    <w:rsid w:val="00B709B9"/>
    <w:rsid w:val="00B9261E"/>
    <w:rsid w:val="00B934DB"/>
    <w:rsid w:val="00B9646A"/>
    <w:rsid w:val="00B96A06"/>
    <w:rsid w:val="00BA0CA5"/>
    <w:rsid w:val="00BA1E96"/>
    <w:rsid w:val="00BA40A1"/>
    <w:rsid w:val="00BA44E2"/>
    <w:rsid w:val="00BB4953"/>
    <w:rsid w:val="00BB4DF8"/>
    <w:rsid w:val="00BC45FD"/>
    <w:rsid w:val="00BC5840"/>
    <w:rsid w:val="00BD353C"/>
    <w:rsid w:val="00BD6040"/>
    <w:rsid w:val="00BE0338"/>
    <w:rsid w:val="00BE246D"/>
    <w:rsid w:val="00BE5BBC"/>
    <w:rsid w:val="00BF0BBC"/>
    <w:rsid w:val="00BF0C3E"/>
    <w:rsid w:val="00BF10CE"/>
    <w:rsid w:val="00BF1308"/>
    <w:rsid w:val="00BF17AA"/>
    <w:rsid w:val="00BF3661"/>
    <w:rsid w:val="00BF752D"/>
    <w:rsid w:val="00C00D3B"/>
    <w:rsid w:val="00C0240C"/>
    <w:rsid w:val="00C04321"/>
    <w:rsid w:val="00C04F7A"/>
    <w:rsid w:val="00C052D3"/>
    <w:rsid w:val="00C07B62"/>
    <w:rsid w:val="00C10B10"/>
    <w:rsid w:val="00C130BD"/>
    <w:rsid w:val="00C16C4E"/>
    <w:rsid w:val="00C24556"/>
    <w:rsid w:val="00C34D25"/>
    <w:rsid w:val="00C351E9"/>
    <w:rsid w:val="00C35AA6"/>
    <w:rsid w:val="00C426BE"/>
    <w:rsid w:val="00C42E0C"/>
    <w:rsid w:val="00C447F8"/>
    <w:rsid w:val="00C55904"/>
    <w:rsid w:val="00C56AA4"/>
    <w:rsid w:val="00C571B3"/>
    <w:rsid w:val="00C57339"/>
    <w:rsid w:val="00C60A9C"/>
    <w:rsid w:val="00C70EB1"/>
    <w:rsid w:val="00C711E7"/>
    <w:rsid w:val="00C72E15"/>
    <w:rsid w:val="00C730B1"/>
    <w:rsid w:val="00C749A8"/>
    <w:rsid w:val="00C76D33"/>
    <w:rsid w:val="00C817E2"/>
    <w:rsid w:val="00C8342F"/>
    <w:rsid w:val="00C87232"/>
    <w:rsid w:val="00C877CC"/>
    <w:rsid w:val="00C93EC0"/>
    <w:rsid w:val="00C972F2"/>
    <w:rsid w:val="00CA0EB9"/>
    <w:rsid w:val="00CA20FB"/>
    <w:rsid w:val="00CC6DF6"/>
    <w:rsid w:val="00CD0DEA"/>
    <w:rsid w:val="00CD2E03"/>
    <w:rsid w:val="00CD698A"/>
    <w:rsid w:val="00CF66C1"/>
    <w:rsid w:val="00D016BE"/>
    <w:rsid w:val="00D07F55"/>
    <w:rsid w:val="00D117A9"/>
    <w:rsid w:val="00D1196E"/>
    <w:rsid w:val="00D14E97"/>
    <w:rsid w:val="00D16D8B"/>
    <w:rsid w:val="00D16FC6"/>
    <w:rsid w:val="00D17375"/>
    <w:rsid w:val="00D2450F"/>
    <w:rsid w:val="00D253FB"/>
    <w:rsid w:val="00D26F3C"/>
    <w:rsid w:val="00D318B9"/>
    <w:rsid w:val="00D3335C"/>
    <w:rsid w:val="00D355D7"/>
    <w:rsid w:val="00D356F6"/>
    <w:rsid w:val="00D41F9A"/>
    <w:rsid w:val="00D56258"/>
    <w:rsid w:val="00D608B7"/>
    <w:rsid w:val="00D6106D"/>
    <w:rsid w:val="00D61CC5"/>
    <w:rsid w:val="00D62369"/>
    <w:rsid w:val="00D63D77"/>
    <w:rsid w:val="00D66FCA"/>
    <w:rsid w:val="00D75E4B"/>
    <w:rsid w:val="00D80761"/>
    <w:rsid w:val="00D84412"/>
    <w:rsid w:val="00D87B5C"/>
    <w:rsid w:val="00D948D3"/>
    <w:rsid w:val="00DA3B53"/>
    <w:rsid w:val="00DA7182"/>
    <w:rsid w:val="00DB313F"/>
    <w:rsid w:val="00DB3529"/>
    <w:rsid w:val="00DB57D5"/>
    <w:rsid w:val="00DB7A8B"/>
    <w:rsid w:val="00DD0958"/>
    <w:rsid w:val="00DD2ADC"/>
    <w:rsid w:val="00DD5EE2"/>
    <w:rsid w:val="00DE0DED"/>
    <w:rsid w:val="00DE1ED7"/>
    <w:rsid w:val="00DE1F22"/>
    <w:rsid w:val="00DE7B73"/>
    <w:rsid w:val="00DF2167"/>
    <w:rsid w:val="00DF735B"/>
    <w:rsid w:val="00DF7AB6"/>
    <w:rsid w:val="00E00E1B"/>
    <w:rsid w:val="00E014CE"/>
    <w:rsid w:val="00E03FDB"/>
    <w:rsid w:val="00E07654"/>
    <w:rsid w:val="00E07777"/>
    <w:rsid w:val="00E1297F"/>
    <w:rsid w:val="00E14793"/>
    <w:rsid w:val="00E16E56"/>
    <w:rsid w:val="00E25F01"/>
    <w:rsid w:val="00E264ED"/>
    <w:rsid w:val="00E34ADC"/>
    <w:rsid w:val="00E40459"/>
    <w:rsid w:val="00E42126"/>
    <w:rsid w:val="00E460FE"/>
    <w:rsid w:val="00E4707D"/>
    <w:rsid w:val="00E470A8"/>
    <w:rsid w:val="00E524FE"/>
    <w:rsid w:val="00E5287D"/>
    <w:rsid w:val="00E52D1A"/>
    <w:rsid w:val="00E533BB"/>
    <w:rsid w:val="00E5397C"/>
    <w:rsid w:val="00E5491D"/>
    <w:rsid w:val="00E60B32"/>
    <w:rsid w:val="00E61582"/>
    <w:rsid w:val="00E6398E"/>
    <w:rsid w:val="00E64C7D"/>
    <w:rsid w:val="00E67167"/>
    <w:rsid w:val="00E74045"/>
    <w:rsid w:val="00E867A2"/>
    <w:rsid w:val="00E87FE0"/>
    <w:rsid w:val="00E900DB"/>
    <w:rsid w:val="00E93F68"/>
    <w:rsid w:val="00EA170C"/>
    <w:rsid w:val="00EA46E3"/>
    <w:rsid w:val="00EA4F9B"/>
    <w:rsid w:val="00EA50D9"/>
    <w:rsid w:val="00EA6861"/>
    <w:rsid w:val="00EB5C41"/>
    <w:rsid w:val="00EB6653"/>
    <w:rsid w:val="00EB6674"/>
    <w:rsid w:val="00EB6CBB"/>
    <w:rsid w:val="00EC017E"/>
    <w:rsid w:val="00EC05F0"/>
    <w:rsid w:val="00EC545E"/>
    <w:rsid w:val="00EC7794"/>
    <w:rsid w:val="00ED0F56"/>
    <w:rsid w:val="00ED42B7"/>
    <w:rsid w:val="00ED4560"/>
    <w:rsid w:val="00EE00A3"/>
    <w:rsid w:val="00EE48AB"/>
    <w:rsid w:val="00EE4AFA"/>
    <w:rsid w:val="00EE6DC3"/>
    <w:rsid w:val="00EF097D"/>
    <w:rsid w:val="00EF31BD"/>
    <w:rsid w:val="00EF422A"/>
    <w:rsid w:val="00F11BFF"/>
    <w:rsid w:val="00F11D6B"/>
    <w:rsid w:val="00F11E32"/>
    <w:rsid w:val="00F11E33"/>
    <w:rsid w:val="00F1368B"/>
    <w:rsid w:val="00F16D7A"/>
    <w:rsid w:val="00F17267"/>
    <w:rsid w:val="00F17DEF"/>
    <w:rsid w:val="00F20062"/>
    <w:rsid w:val="00F20AEE"/>
    <w:rsid w:val="00F4146C"/>
    <w:rsid w:val="00F42D4A"/>
    <w:rsid w:val="00F440EB"/>
    <w:rsid w:val="00F44235"/>
    <w:rsid w:val="00F45EE7"/>
    <w:rsid w:val="00F4650B"/>
    <w:rsid w:val="00F520EF"/>
    <w:rsid w:val="00F61AB3"/>
    <w:rsid w:val="00F634C9"/>
    <w:rsid w:val="00F66E12"/>
    <w:rsid w:val="00F67C1E"/>
    <w:rsid w:val="00F728BD"/>
    <w:rsid w:val="00F755B2"/>
    <w:rsid w:val="00F8261B"/>
    <w:rsid w:val="00F83058"/>
    <w:rsid w:val="00F853D0"/>
    <w:rsid w:val="00F873AD"/>
    <w:rsid w:val="00F879D7"/>
    <w:rsid w:val="00F9106F"/>
    <w:rsid w:val="00FA1C1D"/>
    <w:rsid w:val="00FA1F39"/>
    <w:rsid w:val="00FA30AB"/>
    <w:rsid w:val="00FA4D05"/>
    <w:rsid w:val="00FA51A8"/>
    <w:rsid w:val="00FA60EB"/>
    <w:rsid w:val="00FA72A1"/>
    <w:rsid w:val="00FA7945"/>
    <w:rsid w:val="00FB29EC"/>
    <w:rsid w:val="00FB62F0"/>
    <w:rsid w:val="00FB6752"/>
    <w:rsid w:val="00FC07FE"/>
    <w:rsid w:val="00FC1050"/>
    <w:rsid w:val="00FC66A5"/>
    <w:rsid w:val="00FC746C"/>
    <w:rsid w:val="00FD334B"/>
    <w:rsid w:val="00FD4933"/>
    <w:rsid w:val="00FE08D2"/>
    <w:rsid w:val="00FE47BC"/>
    <w:rsid w:val="00FF0C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12374A6"/>
  <w15:docId w15:val="{DC0D7BC2-F549-48B1-BB97-1893F2A7E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line="240" w:lineRule="auto"/>
      <w:jc w:val="both"/>
    </w:pPr>
    <w:rPr>
      <w:rFonts w:ascii="Times New Roman" w:hAnsi="Times New Roman" w:cs="Times New Roman"/>
      <w:sz w:val="24"/>
      <w:lang w:val="en-GB"/>
    </w:rPr>
  </w:style>
  <w:style w:type="paragraph" w:styleId="Heading1">
    <w:name w:val="heading 1"/>
    <w:basedOn w:val="Normal"/>
    <w:next w:val="Text1"/>
    <w:link w:val="Heading1Char"/>
    <w:uiPriority w:val="9"/>
    <w:qFormat/>
    <w:pPr>
      <w:keepNext/>
      <w:numPr>
        <w:numId w:val="33"/>
      </w:numPr>
      <w:spacing w:before="360"/>
      <w:outlineLvl w:val="0"/>
    </w:pPr>
    <w:rPr>
      <w:rFonts w:eastAsiaTheme="majorEastAsia"/>
      <w:b/>
      <w:bCs/>
      <w:smallCaps/>
      <w:szCs w:val="28"/>
    </w:rPr>
  </w:style>
  <w:style w:type="paragraph" w:styleId="Heading2">
    <w:name w:val="heading 2"/>
    <w:basedOn w:val="Normal"/>
    <w:next w:val="Text1"/>
    <w:link w:val="Heading2Char"/>
    <w:uiPriority w:val="9"/>
    <w:semiHidden/>
    <w:unhideWhenUsed/>
    <w:qFormat/>
    <w:pPr>
      <w:keepNext/>
      <w:numPr>
        <w:ilvl w:val="1"/>
        <w:numId w:val="33"/>
      </w:numPr>
      <w:outlineLvl w:val="1"/>
    </w:pPr>
    <w:rPr>
      <w:rFonts w:eastAsiaTheme="majorEastAsia"/>
      <w:b/>
      <w:bCs/>
      <w:szCs w:val="26"/>
    </w:rPr>
  </w:style>
  <w:style w:type="paragraph" w:styleId="Heading3">
    <w:name w:val="heading 3"/>
    <w:basedOn w:val="Normal"/>
    <w:next w:val="Text1"/>
    <w:link w:val="Heading3Char"/>
    <w:uiPriority w:val="9"/>
    <w:semiHidden/>
    <w:unhideWhenUsed/>
    <w:qFormat/>
    <w:pPr>
      <w:keepNext/>
      <w:numPr>
        <w:ilvl w:val="2"/>
        <w:numId w:val="33"/>
      </w:numPr>
      <w:outlineLvl w:val="2"/>
    </w:pPr>
    <w:rPr>
      <w:rFonts w:eastAsiaTheme="majorEastAsia"/>
      <w:bCs/>
      <w:i/>
    </w:rPr>
  </w:style>
  <w:style w:type="paragraph" w:styleId="Heading4">
    <w:name w:val="heading 4"/>
    <w:basedOn w:val="Normal"/>
    <w:next w:val="Text1"/>
    <w:link w:val="Heading4Char"/>
    <w:uiPriority w:val="9"/>
    <w:semiHidden/>
    <w:unhideWhenUsed/>
    <w:qFormat/>
    <w:pPr>
      <w:keepNext/>
      <w:numPr>
        <w:ilvl w:val="3"/>
        <w:numId w:val="33"/>
      </w:numPr>
      <w:outlineLvl w:val="3"/>
    </w:pPr>
    <w:rPr>
      <w:rFonts w:eastAsiaTheme="majorEastAsia"/>
      <w:bCs/>
      <w:iCs/>
    </w:rPr>
  </w:style>
  <w:style w:type="paragraph" w:styleId="Heading5">
    <w:name w:val="heading 5"/>
    <w:basedOn w:val="Normal"/>
    <w:next w:val="Text2"/>
    <w:link w:val="Heading5Char"/>
    <w:uiPriority w:val="9"/>
    <w:semiHidden/>
    <w:unhideWhenUsed/>
    <w:qFormat/>
    <w:pPr>
      <w:keepNext/>
      <w:numPr>
        <w:ilvl w:val="4"/>
        <w:numId w:val="33"/>
      </w:numPr>
      <w:outlineLvl w:val="4"/>
    </w:pPr>
    <w:rPr>
      <w:rFonts w:eastAsiaTheme="majorEastAsia"/>
    </w:rPr>
  </w:style>
  <w:style w:type="paragraph" w:styleId="Heading6">
    <w:name w:val="heading 6"/>
    <w:basedOn w:val="Normal"/>
    <w:next w:val="Text2"/>
    <w:link w:val="Heading6Char"/>
    <w:uiPriority w:val="9"/>
    <w:semiHidden/>
    <w:unhideWhenUsed/>
    <w:qFormat/>
    <w:pPr>
      <w:keepNext/>
      <w:numPr>
        <w:ilvl w:val="5"/>
        <w:numId w:val="33"/>
      </w:numPr>
      <w:outlineLvl w:val="5"/>
    </w:pPr>
    <w:rPr>
      <w:rFonts w:eastAsiaTheme="majorEastAsia"/>
      <w:iCs/>
    </w:rPr>
  </w:style>
  <w:style w:type="paragraph" w:styleId="Heading7">
    <w:name w:val="heading 7"/>
    <w:basedOn w:val="Normal"/>
    <w:next w:val="Text2"/>
    <w:link w:val="Heading7Char"/>
    <w:uiPriority w:val="9"/>
    <w:semiHidden/>
    <w:unhideWhenUsed/>
    <w:qFormat/>
    <w:pPr>
      <w:keepNext/>
      <w:numPr>
        <w:ilvl w:val="6"/>
        <w:numId w:val="33"/>
      </w:numPr>
      <w:outlineLvl w:val="6"/>
    </w:pPr>
    <w:rPr>
      <w:rFonts w:eastAsiaTheme="majorEastAsia"/>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semiHidden/>
    <w:unhideWhenUsed/>
    <w:rsid w:val="00BF10CE"/>
    <w:pPr>
      <w:numPr>
        <w:numId w:val="1"/>
      </w:numPr>
      <w:contextualSpacing/>
    </w:pPr>
  </w:style>
  <w:style w:type="paragraph" w:styleId="ListBullet2">
    <w:name w:val="List Bullet 2"/>
    <w:basedOn w:val="Normal"/>
    <w:uiPriority w:val="99"/>
    <w:semiHidden/>
    <w:unhideWhenUsed/>
    <w:rsid w:val="00BF10CE"/>
    <w:pPr>
      <w:numPr>
        <w:numId w:val="2"/>
      </w:numPr>
      <w:contextualSpacing/>
    </w:pPr>
  </w:style>
  <w:style w:type="paragraph" w:styleId="ListBullet3">
    <w:name w:val="List Bullet 3"/>
    <w:basedOn w:val="Normal"/>
    <w:uiPriority w:val="99"/>
    <w:semiHidden/>
    <w:unhideWhenUsed/>
    <w:rsid w:val="00BF10CE"/>
    <w:pPr>
      <w:numPr>
        <w:numId w:val="3"/>
      </w:numPr>
      <w:contextualSpacing/>
    </w:pPr>
  </w:style>
  <w:style w:type="paragraph" w:styleId="ListBullet4">
    <w:name w:val="List Bullet 4"/>
    <w:basedOn w:val="Normal"/>
    <w:uiPriority w:val="99"/>
    <w:semiHidden/>
    <w:unhideWhenUsed/>
    <w:rsid w:val="00BF10CE"/>
    <w:pPr>
      <w:numPr>
        <w:numId w:val="4"/>
      </w:numPr>
      <w:contextualSpacing/>
    </w:pPr>
  </w:style>
  <w:style w:type="character" w:styleId="CommentReference">
    <w:name w:val="annotation reference"/>
    <w:basedOn w:val="DefaultParagraphFont"/>
    <w:uiPriority w:val="99"/>
    <w:semiHidden/>
    <w:unhideWhenUsed/>
    <w:rsid w:val="00F11D6B"/>
    <w:rPr>
      <w:sz w:val="16"/>
      <w:szCs w:val="16"/>
    </w:rPr>
  </w:style>
  <w:style w:type="paragraph" w:styleId="CommentText">
    <w:name w:val="annotation text"/>
    <w:basedOn w:val="Normal"/>
    <w:link w:val="CommentTextChar"/>
    <w:uiPriority w:val="99"/>
    <w:unhideWhenUsed/>
    <w:rsid w:val="00F11D6B"/>
    <w:rPr>
      <w:sz w:val="20"/>
      <w:szCs w:val="20"/>
    </w:rPr>
  </w:style>
  <w:style w:type="character" w:customStyle="1" w:styleId="CommentTextChar">
    <w:name w:val="Comment Text Char"/>
    <w:basedOn w:val="DefaultParagraphFont"/>
    <w:link w:val="CommentText"/>
    <w:uiPriority w:val="99"/>
    <w:rsid w:val="00F11D6B"/>
    <w:rPr>
      <w:rFonts w:ascii="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F11D6B"/>
    <w:rPr>
      <w:b/>
      <w:bCs/>
    </w:rPr>
  </w:style>
  <w:style w:type="character" w:customStyle="1" w:styleId="CommentSubjectChar">
    <w:name w:val="Comment Subject Char"/>
    <w:basedOn w:val="CommentTextChar"/>
    <w:link w:val="CommentSubject"/>
    <w:uiPriority w:val="99"/>
    <w:semiHidden/>
    <w:rsid w:val="00F11D6B"/>
    <w:rPr>
      <w:rFonts w:ascii="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F11D6B"/>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D6B"/>
    <w:rPr>
      <w:rFonts w:ascii="Segoe UI" w:hAnsi="Segoe UI" w:cs="Segoe UI"/>
      <w:sz w:val="18"/>
      <w:szCs w:val="18"/>
      <w:lang w:val="en-GB"/>
    </w:rPr>
  </w:style>
  <w:style w:type="paragraph" w:styleId="Caption">
    <w:name w:val="caption"/>
    <w:basedOn w:val="Normal"/>
    <w:next w:val="Normal"/>
    <w:uiPriority w:val="35"/>
    <w:semiHidden/>
    <w:unhideWhenUsed/>
    <w:qFormat/>
    <w:rsid w:val="0058510F"/>
    <w:pPr>
      <w:spacing w:before="0" w:after="200"/>
    </w:pPr>
    <w:rPr>
      <w:i/>
      <w:iCs/>
      <w:color w:val="1F497D" w:themeColor="text2"/>
      <w:sz w:val="18"/>
      <w:szCs w:val="18"/>
    </w:rPr>
  </w:style>
  <w:style w:type="paragraph" w:styleId="TableofFigures">
    <w:name w:val="table of figures"/>
    <w:basedOn w:val="Normal"/>
    <w:next w:val="Normal"/>
    <w:uiPriority w:val="99"/>
    <w:semiHidden/>
    <w:unhideWhenUsed/>
    <w:rsid w:val="0058510F"/>
    <w:pPr>
      <w:spacing w:after="0"/>
    </w:pPr>
  </w:style>
  <w:style w:type="paragraph" w:styleId="ListNumber">
    <w:name w:val="List Number"/>
    <w:basedOn w:val="Normal"/>
    <w:uiPriority w:val="99"/>
    <w:semiHidden/>
    <w:unhideWhenUsed/>
    <w:rsid w:val="0058510F"/>
    <w:pPr>
      <w:numPr>
        <w:numId w:val="6"/>
      </w:numPr>
      <w:contextualSpacing/>
    </w:pPr>
  </w:style>
  <w:style w:type="paragraph" w:styleId="ListNumber2">
    <w:name w:val="List Number 2"/>
    <w:basedOn w:val="Normal"/>
    <w:uiPriority w:val="99"/>
    <w:semiHidden/>
    <w:unhideWhenUsed/>
    <w:rsid w:val="0058510F"/>
    <w:pPr>
      <w:numPr>
        <w:numId w:val="7"/>
      </w:numPr>
      <w:contextualSpacing/>
    </w:pPr>
  </w:style>
  <w:style w:type="paragraph" w:styleId="ListNumber3">
    <w:name w:val="List Number 3"/>
    <w:basedOn w:val="Normal"/>
    <w:uiPriority w:val="99"/>
    <w:semiHidden/>
    <w:unhideWhenUsed/>
    <w:rsid w:val="0058510F"/>
    <w:pPr>
      <w:numPr>
        <w:numId w:val="8"/>
      </w:numPr>
      <w:contextualSpacing/>
    </w:pPr>
  </w:style>
  <w:style w:type="paragraph" w:styleId="ListNumber4">
    <w:name w:val="List Number 4"/>
    <w:basedOn w:val="Normal"/>
    <w:uiPriority w:val="99"/>
    <w:semiHidden/>
    <w:unhideWhenUsed/>
    <w:rsid w:val="0058510F"/>
    <w:pPr>
      <w:numPr>
        <w:numId w:val="9"/>
      </w:numPr>
      <w:contextualSpacing/>
    </w:pPr>
  </w:style>
  <w:style w:type="character" w:styleId="Hyperlink">
    <w:name w:val="Hyperlink"/>
    <w:basedOn w:val="DefaultParagraphFont"/>
    <w:uiPriority w:val="99"/>
    <w:unhideWhenUsed/>
    <w:rsid w:val="00AE28CD"/>
    <w:rPr>
      <w:color w:val="0000FF" w:themeColor="hyperlink"/>
      <w:u w:val="single"/>
    </w:rPr>
  </w:style>
  <w:style w:type="character" w:styleId="IntenseEmphasis">
    <w:name w:val="Intense Emphasis"/>
    <w:basedOn w:val="DefaultParagraphFont"/>
    <w:uiPriority w:val="21"/>
    <w:qFormat/>
    <w:rsid w:val="00AF0CC3"/>
    <w:rPr>
      <w:i/>
      <w:iCs/>
      <w:color w:val="4F81BD" w:themeColor="accent1"/>
    </w:rPr>
  </w:style>
  <w:style w:type="paragraph" w:styleId="Revision">
    <w:name w:val="Revision"/>
    <w:hidden/>
    <w:uiPriority w:val="99"/>
    <w:semiHidden/>
    <w:rsid w:val="00CC6DF6"/>
    <w:pPr>
      <w:spacing w:after="0" w:line="240" w:lineRule="auto"/>
    </w:pPr>
    <w:rPr>
      <w:rFonts w:ascii="Times New Roman" w:hAnsi="Times New Roman" w:cs="Times New Roman"/>
      <w:sz w:val="24"/>
      <w:lang w:val="en-GB"/>
    </w:rPr>
  </w:style>
  <w:style w:type="character" w:styleId="UnresolvedMention">
    <w:name w:val="Unresolved Mention"/>
    <w:basedOn w:val="DefaultParagraphFont"/>
    <w:uiPriority w:val="99"/>
    <w:semiHidden/>
    <w:unhideWhenUsed/>
    <w:rsid w:val="0029568D"/>
    <w:rPr>
      <w:color w:val="605E5C"/>
      <w:shd w:val="clear" w:color="auto" w:fill="E1DFDD"/>
    </w:rPr>
  </w:style>
  <w:style w:type="character" w:styleId="FollowedHyperlink">
    <w:name w:val="FollowedHyperlink"/>
    <w:basedOn w:val="DefaultParagraphFont"/>
    <w:uiPriority w:val="99"/>
    <w:semiHidden/>
    <w:unhideWhenUsed/>
    <w:rsid w:val="00E533BB"/>
    <w:rPr>
      <w:color w:val="800080" w:themeColor="followedHyperlink"/>
      <w:u w:val="single"/>
    </w:rPr>
  </w:style>
  <w:style w:type="paragraph" w:styleId="Header">
    <w:name w:val="header"/>
    <w:basedOn w:val="Normal"/>
    <w:link w:val="HeaderChar"/>
    <w:uiPriority w:val="99"/>
    <w:semiHidden/>
    <w:unhideWhenUsed/>
    <w:pPr>
      <w:tabs>
        <w:tab w:val="center" w:pos="4535"/>
        <w:tab w:val="right" w:pos="9071"/>
      </w:tabs>
      <w:spacing w:before="0"/>
    </w:pPr>
  </w:style>
  <w:style w:type="character" w:customStyle="1" w:styleId="HeaderChar">
    <w:name w:val="Header Char"/>
    <w:basedOn w:val="DefaultParagraphFont"/>
    <w:link w:val="Header"/>
    <w:uiPriority w:val="99"/>
    <w:semiHidden/>
    <w:rPr>
      <w:rFonts w:ascii="Times New Roman" w:hAnsi="Times New Roman" w:cs="Times New Roman"/>
      <w:sz w:val="24"/>
      <w:shd w:val="clear" w:color="auto" w:fill="auto"/>
      <w:lang w:val="en-GB"/>
    </w:rPr>
  </w:style>
  <w:style w:type="paragraph" w:styleId="Footer">
    <w:name w:val="footer"/>
    <w:basedOn w:val="Normal"/>
    <w:link w:val="FooterChar"/>
    <w:uiPriority w:val="99"/>
    <w:semiHidden/>
    <w:unhideWhenUsed/>
    <w:pPr>
      <w:tabs>
        <w:tab w:val="center" w:pos="4535"/>
        <w:tab w:val="right" w:pos="9071"/>
        <w:tab w:val="right" w:pos="9921"/>
      </w:tabs>
      <w:spacing w:before="360" w:after="0"/>
      <w:ind w:left="-850" w:right="-850"/>
      <w:jc w:val="left"/>
    </w:pPr>
  </w:style>
  <w:style w:type="character" w:customStyle="1" w:styleId="FooterChar">
    <w:name w:val="Footer Char"/>
    <w:basedOn w:val="DefaultParagraphFont"/>
    <w:link w:val="Footer"/>
    <w:uiPriority w:val="99"/>
    <w:semiHidden/>
    <w:rPr>
      <w:rFonts w:ascii="Times New Roman" w:hAnsi="Times New Roman" w:cs="Times New Roman"/>
      <w:sz w:val="24"/>
      <w:shd w:val="clear" w:color="auto" w:fill="auto"/>
      <w:lang w:val="en-GB"/>
    </w:rPr>
  </w:style>
  <w:style w:type="paragraph" w:styleId="FootnoteText">
    <w:name w:val="footnote text"/>
    <w:basedOn w:val="Normal"/>
    <w:link w:val="FootnoteTextChar"/>
    <w:uiPriority w:val="99"/>
    <w:semiHidden/>
    <w:unhideWhenUsed/>
    <w:pPr>
      <w:spacing w:before="0" w:after="0"/>
      <w:ind w:left="720" w:hanging="720"/>
    </w:pPr>
    <w:rPr>
      <w:sz w:val="20"/>
      <w:szCs w:val="20"/>
    </w:rPr>
  </w:style>
  <w:style w:type="character" w:customStyle="1" w:styleId="FootnoteTextChar">
    <w:name w:val="Footnote Text Char"/>
    <w:basedOn w:val="DefaultParagraphFont"/>
    <w:link w:val="FootnoteText"/>
    <w:uiPriority w:val="99"/>
    <w:semiHidden/>
    <w:rPr>
      <w:rFonts w:ascii="Times New Roman" w:hAnsi="Times New Roman" w:cs="Times New Roman"/>
      <w:sz w:val="20"/>
      <w:szCs w:val="20"/>
      <w:shd w:val="clear" w:color="auto" w:fill="auto"/>
      <w:lang w:val="en-GB"/>
    </w:rPr>
  </w:style>
  <w:style w:type="character" w:customStyle="1" w:styleId="Heading1Char">
    <w:name w:val="Heading 1 Char"/>
    <w:basedOn w:val="DefaultParagraphFont"/>
    <w:link w:val="Heading1"/>
    <w:uiPriority w:val="9"/>
    <w:rPr>
      <w:rFonts w:ascii="Times New Roman" w:eastAsiaTheme="majorEastAsia" w:hAnsi="Times New Roman" w:cs="Times New Roman"/>
      <w:b/>
      <w:bCs/>
      <w:smallCaps/>
      <w:sz w:val="24"/>
      <w:szCs w:val="28"/>
      <w:shd w:val="clear" w:color="auto" w:fill="auto"/>
      <w:lang w:val="en-GB"/>
    </w:rPr>
  </w:style>
  <w:style w:type="character" w:customStyle="1" w:styleId="Heading2Char">
    <w:name w:val="Heading 2 Char"/>
    <w:basedOn w:val="DefaultParagraphFont"/>
    <w:link w:val="Heading2"/>
    <w:uiPriority w:val="9"/>
    <w:semiHidden/>
    <w:rPr>
      <w:rFonts w:ascii="Times New Roman" w:eastAsiaTheme="majorEastAsia" w:hAnsi="Times New Roman" w:cs="Times New Roman"/>
      <w:b/>
      <w:bCs/>
      <w:sz w:val="24"/>
      <w:szCs w:val="26"/>
      <w:shd w:val="clear" w:color="auto" w:fill="auto"/>
      <w:lang w:val="en-GB"/>
    </w:rPr>
  </w:style>
  <w:style w:type="character" w:customStyle="1" w:styleId="Heading3Char">
    <w:name w:val="Heading 3 Char"/>
    <w:basedOn w:val="DefaultParagraphFont"/>
    <w:link w:val="Heading3"/>
    <w:uiPriority w:val="9"/>
    <w:semiHidden/>
    <w:rPr>
      <w:rFonts w:ascii="Times New Roman" w:eastAsiaTheme="majorEastAsia" w:hAnsi="Times New Roman" w:cs="Times New Roman"/>
      <w:bCs/>
      <w:i/>
      <w:sz w:val="24"/>
      <w:shd w:val="clear" w:color="auto" w:fill="auto"/>
      <w:lang w:val="en-GB"/>
    </w:rPr>
  </w:style>
  <w:style w:type="character" w:customStyle="1" w:styleId="Heading4Char">
    <w:name w:val="Heading 4 Char"/>
    <w:basedOn w:val="DefaultParagraphFont"/>
    <w:link w:val="Heading4"/>
    <w:uiPriority w:val="9"/>
    <w:semiHidden/>
    <w:rPr>
      <w:rFonts w:ascii="Times New Roman" w:eastAsiaTheme="majorEastAsia" w:hAnsi="Times New Roman" w:cs="Times New Roman"/>
      <w:bCs/>
      <w:iCs/>
      <w:sz w:val="24"/>
      <w:shd w:val="clear" w:color="auto" w:fill="auto"/>
      <w:lang w:val="en-GB"/>
    </w:rPr>
  </w:style>
  <w:style w:type="character" w:customStyle="1" w:styleId="Heading5Char">
    <w:name w:val="Heading 5 Char"/>
    <w:basedOn w:val="DefaultParagraphFont"/>
    <w:link w:val="Heading5"/>
    <w:uiPriority w:val="9"/>
    <w:semiHidden/>
    <w:rPr>
      <w:rFonts w:ascii="Times New Roman" w:eastAsiaTheme="majorEastAsia" w:hAnsi="Times New Roman" w:cs="Times New Roman"/>
      <w:sz w:val="24"/>
      <w:shd w:val="clear" w:color="auto" w:fill="auto"/>
      <w:lang w:val="en-GB"/>
    </w:rPr>
  </w:style>
  <w:style w:type="character" w:customStyle="1" w:styleId="Heading6Char">
    <w:name w:val="Heading 6 Char"/>
    <w:basedOn w:val="DefaultParagraphFont"/>
    <w:link w:val="Heading6"/>
    <w:uiPriority w:val="9"/>
    <w:semiHidden/>
    <w:rPr>
      <w:rFonts w:ascii="Times New Roman" w:eastAsiaTheme="majorEastAsia" w:hAnsi="Times New Roman" w:cs="Times New Roman"/>
      <w:iCs/>
      <w:sz w:val="24"/>
      <w:shd w:val="clear" w:color="auto" w:fill="auto"/>
      <w:lang w:val="en-GB"/>
    </w:rPr>
  </w:style>
  <w:style w:type="character" w:customStyle="1" w:styleId="Heading7Char">
    <w:name w:val="Heading 7 Char"/>
    <w:basedOn w:val="DefaultParagraphFont"/>
    <w:link w:val="Heading7"/>
    <w:uiPriority w:val="9"/>
    <w:semiHidden/>
    <w:rPr>
      <w:rFonts w:ascii="Times New Roman" w:eastAsiaTheme="majorEastAsia" w:hAnsi="Times New Roman" w:cs="Times New Roman"/>
      <w:iCs/>
      <w:sz w:val="24"/>
      <w:shd w:val="clear" w:color="auto" w:fill="auto"/>
      <w:lang w:val="en-GB"/>
    </w:rPr>
  </w:style>
  <w:style w:type="paragraph" w:styleId="TOCHeading">
    <w:name w:val="TOC Heading"/>
    <w:basedOn w:val="Normal"/>
    <w:next w:val="Normal"/>
    <w:uiPriority w:val="39"/>
    <w:semiHidden/>
    <w:unhideWhenUsed/>
    <w:qFormat/>
    <w:pPr>
      <w:spacing w:after="240"/>
      <w:jc w:val="center"/>
    </w:pPr>
    <w:rPr>
      <w:b/>
      <w:sz w:val="28"/>
    </w:rPr>
  </w:style>
  <w:style w:type="paragraph" w:styleId="TOC1">
    <w:name w:val="toc 1"/>
    <w:basedOn w:val="Normal"/>
    <w:next w:val="Normal"/>
    <w:uiPriority w:val="39"/>
    <w:semiHidden/>
    <w:unhideWhenUsed/>
    <w:pPr>
      <w:tabs>
        <w:tab w:val="right" w:leader="dot" w:pos="9071"/>
      </w:tabs>
      <w:spacing w:before="60"/>
      <w:ind w:left="850" w:hanging="850"/>
      <w:jc w:val="left"/>
    </w:pPr>
  </w:style>
  <w:style w:type="paragraph" w:styleId="TOC2">
    <w:name w:val="toc 2"/>
    <w:basedOn w:val="Normal"/>
    <w:next w:val="Normal"/>
    <w:uiPriority w:val="39"/>
    <w:semiHidden/>
    <w:unhideWhenUsed/>
    <w:pPr>
      <w:tabs>
        <w:tab w:val="right" w:leader="dot" w:pos="9071"/>
      </w:tabs>
      <w:spacing w:before="60"/>
      <w:ind w:left="850" w:hanging="850"/>
      <w:jc w:val="left"/>
    </w:pPr>
  </w:style>
  <w:style w:type="paragraph" w:styleId="TOC3">
    <w:name w:val="toc 3"/>
    <w:basedOn w:val="Normal"/>
    <w:next w:val="Normal"/>
    <w:uiPriority w:val="39"/>
    <w:semiHidden/>
    <w:unhideWhenUsed/>
    <w:pPr>
      <w:tabs>
        <w:tab w:val="right" w:leader="dot" w:pos="9071"/>
      </w:tabs>
      <w:spacing w:before="60"/>
      <w:ind w:left="850" w:hanging="850"/>
      <w:jc w:val="left"/>
    </w:pPr>
  </w:style>
  <w:style w:type="paragraph" w:styleId="TOC4">
    <w:name w:val="toc 4"/>
    <w:basedOn w:val="Normal"/>
    <w:next w:val="Normal"/>
    <w:uiPriority w:val="39"/>
    <w:semiHidden/>
    <w:unhideWhenUsed/>
    <w:pPr>
      <w:tabs>
        <w:tab w:val="right" w:leader="dot" w:pos="9071"/>
      </w:tabs>
      <w:spacing w:before="60"/>
      <w:ind w:left="850" w:hanging="850"/>
      <w:jc w:val="left"/>
    </w:pPr>
  </w:style>
  <w:style w:type="paragraph" w:styleId="TOC5">
    <w:name w:val="toc 5"/>
    <w:basedOn w:val="Normal"/>
    <w:next w:val="Normal"/>
    <w:uiPriority w:val="39"/>
    <w:semiHidden/>
    <w:unhideWhenUsed/>
    <w:pPr>
      <w:tabs>
        <w:tab w:val="right" w:leader="dot" w:pos="9071"/>
      </w:tabs>
      <w:spacing w:before="300"/>
      <w:jc w:val="left"/>
    </w:pPr>
  </w:style>
  <w:style w:type="paragraph" w:styleId="TOC6">
    <w:name w:val="toc 6"/>
    <w:basedOn w:val="Normal"/>
    <w:next w:val="Normal"/>
    <w:uiPriority w:val="39"/>
    <w:semiHidden/>
    <w:unhideWhenUsed/>
    <w:pPr>
      <w:tabs>
        <w:tab w:val="right" w:leader="dot" w:pos="9071"/>
      </w:tabs>
      <w:spacing w:before="240"/>
      <w:jc w:val="left"/>
    </w:pPr>
  </w:style>
  <w:style w:type="paragraph" w:styleId="TOC7">
    <w:name w:val="toc 7"/>
    <w:basedOn w:val="Normal"/>
    <w:next w:val="Normal"/>
    <w:uiPriority w:val="39"/>
    <w:semiHidden/>
    <w:unhideWhenUsed/>
    <w:pPr>
      <w:tabs>
        <w:tab w:val="right" w:leader="dot" w:pos="9071"/>
      </w:tabs>
      <w:spacing w:before="180"/>
      <w:jc w:val="left"/>
    </w:pPr>
  </w:style>
  <w:style w:type="paragraph" w:styleId="TOC8">
    <w:name w:val="toc 8"/>
    <w:basedOn w:val="Normal"/>
    <w:next w:val="Normal"/>
    <w:uiPriority w:val="39"/>
    <w:semiHidden/>
    <w:unhideWhenUsed/>
    <w:pPr>
      <w:tabs>
        <w:tab w:val="right" w:leader="dot" w:pos="9071"/>
      </w:tabs>
      <w:jc w:val="left"/>
    </w:pPr>
  </w:style>
  <w:style w:type="paragraph" w:styleId="TOC9">
    <w:name w:val="toc 9"/>
    <w:basedOn w:val="Normal"/>
    <w:next w:val="Normal"/>
    <w:uiPriority w:val="39"/>
    <w:semiHidden/>
    <w:unhideWhenUsed/>
    <w:pPr>
      <w:tabs>
        <w:tab w:val="right" w:leader="dot" w:pos="9071"/>
      </w:tabs>
      <w:ind w:left="1417" w:hanging="1417"/>
      <w:jc w:val="left"/>
    </w:pPr>
  </w:style>
  <w:style w:type="paragraph" w:customStyle="1" w:styleId="HeaderLandscape">
    <w:name w:val="HeaderLandscape"/>
    <w:basedOn w:val="Normal"/>
    <w:pPr>
      <w:tabs>
        <w:tab w:val="center" w:pos="7285"/>
        <w:tab w:val="right" w:pos="14003"/>
      </w:tabs>
      <w:spacing w:before="0"/>
    </w:pPr>
  </w:style>
  <w:style w:type="paragraph" w:customStyle="1" w:styleId="FooterLandscape">
    <w:name w:val="FooterLandscape"/>
    <w:basedOn w:val="Normal"/>
    <w:pPr>
      <w:tabs>
        <w:tab w:val="center" w:pos="7285"/>
        <w:tab w:val="center" w:pos="10913"/>
        <w:tab w:val="right" w:pos="15137"/>
      </w:tabs>
      <w:spacing w:before="360" w:after="0"/>
      <w:ind w:left="-567" w:right="-567"/>
      <w:jc w:val="left"/>
    </w:pPr>
  </w:style>
  <w:style w:type="character" w:styleId="FootnoteReference">
    <w:name w:val="footnote reference"/>
    <w:basedOn w:val="DefaultParagraphFont"/>
    <w:uiPriority w:val="99"/>
    <w:semiHidden/>
    <w:unhideWhenUsed/>
    <w:rPr>
      <w:shd w:val="clear" w:color="auto" w:fill="auto"/>
      <w:vertAlign w:val="superscript"/>
    </w:rPr>
  </w:style>
  <w:style w:type="paragraph" w:customStyle="1" w:styleId="HeaderSensitivity">
    <w:name w:val="Header Sensitivity"/>
    <w:basedOn w:val="Normal"/>
    <w:pPr>
      <w:pBdr>
        <w:top w:val="single" w:sz="4" w:space="1" w:color="auto"/>
        <w:left w:val="single" w:sz="4" w:space="4" w:color="auto"/>
        <w:bottom w:val="single" w:sz="4" w:space="1" w:color="auto"/>
        <w:right w:val="single" w:sz="4" w:space="4" w:color="auto"/>
      </w:pBdr>
      <w:spacing w:before="0"/>
      <w:ind w:left="113" w:right="113"/>
      <w:jc w:val="center"/>
    </w:pPr>
    <w:rPr>
      <w:b/>
      <w:sz w:val="32"/>
    </w:rPr>
  </w:style>
  <w:style w:type="paragraph" w:customStyle="1" w:styleId="HeaderSensitivityRight">
    <w:name w:val="Header Sensitivity Right"/>
    <w:basedOn w:val="Normal"/>
    <w:pPr>
      <w:spacing w:before="0"/>
      <w:jc w:val="right"/>
    </w:pPr>
    <w:rPr>
      <w:sz w:val="28"/>
    </w:rPr>
  </w:style>
  <w:style w:type="paragraph" w:customStyle="1" w:styleId="FooterSensitivity">
    <w:name w:val="Footer Sensitivity"/>
    <w:basedOn w:val="Normal"/>
    <w:pPr>
      <w:pBdr>
        <w:top w:val="single" w:sz="4" w:space="1" w:color="auto"/>
        <w:left w:val="single" w:sz="4" w:space="4" w:color="auto"/>
        <w:bottom w:val="single" w:sz="4" w:space="1" w:color="auto"/>
        <w:right w:val="single" w:sz="4" w:space="4" w:color="auto"/>
      </w:pBdr>
      <w:spacing w:before="360" w:after="0"/>
      <w:ind w:left="113" w:right="113"/>
      <w:jc w:val="center"/>
    </w:pPr>
    <w:rPr>
      <w:b/>
      <w:sz w:val="32"/>
    </w:rPr>
  </w:style>
  <w:style w:type="paragraph" w:customStyle="1" w:styleId="Text1">
    <w:name w:val="Text 1"/>
    <w:basedOn w:val="Normal"/>
    <w:pPr>
      <w:ind w:left="850"/>
    </w:pPr>
  </w:style>
  <w:style w:type="paragraph" w:customStyle="1" w:styleId="Text2">
    <w:name w:val="Text 2"/>
    <w:basedOn w:val="Normal"/>
    <w:pPr>
      <w:ind w:left="1417"/>
    </w:pPr>
  </w:style>
  <w:style w:type="paragraph" w:customStyle="1" w:styleId="Text3">
    <w:name w:val="Text 3"/>
    <w:basedOn w:val="Normal"/>
    <w:pPr>
      <w:ind w:left="1984"/>
    </w:pPr>
  </w:style>
  <w:style w:type="paragraph" w:customStyle="1" w:styleId="Text4">
    <w:name w:val="Text 4"/>
    <w:basedOn w:val="Normal"/>
    <w:pPr>
      <w:ind w:left="2551"/>
    </w:pPr>
  </w:style>
  <w:style w:type="paragraph" w:customStyle="1" w:styleId="Text5">
    <w:name w:val="Text 5"/>
    <w:basedOn w:val="Normal"/>
    <w:pPr>
      <w:ind w:left="3118"/>
    </w:pPr>
  </w:style>
  <w:style w:type="paragraph" w:customStyle="1" w:styleId="Text6">
    <w:name w:val="Text 6"/>
    <w:basedOn w:val="Normal"/>
    <w:pPr>
      <w:ind w:left="3685"/>
    </w:pPr>
  </w:style>
  <w:style w:type="paragraph" w:customStyle="1" w:styleId="NormalCentered">
    <w:name w:val="Normal Centered"/>
    <w:basedOn w:val="Normal"/>
    <w:pPr>
      <w:jc w:val="center"/>
    </w:pPr>
  </w:style>
  <w:style w:type="paragraph" w:customStyle="1" w:styleId="NormalLeft">
    <w:name w:val="Normal Left"/>
    <w:basedOn w:val="Normal"/>
    <w:pPr>
      <w:jc w:val="left"/>
    </w:pPr>
  </w:style>
  <w:style w:type="paragraph" w:customStyle="1" w:styleId="NormalRight">
    <w:name w:val="Normal Right"/>
    <w:basedOn w:val="Normal"/>
    <w:pPr>
      <w:jc w:val="right"/>
    </w:pPr>
  </w:style>
  <w:style w:type="paragraph" w:customStyle="1" w:styleId="QuotedText">
    <w:name w:val="Quoted Text"/>
    <w:basedOn w:val="Normal"/>
    <w:pPr>
      <w:ind w:left="1417"/>
    </w:pPr>
  </w:style>
  <w:style w:type="paragraph" w:customStyle="1" w:styleId="Point0">
    <w:name w:val="Point 0"/>
    <w:basedOn w:val="Normal"/>
    <w:pPr>
      <w:ind w:left="850" w:hanging="850"/>
    </w:pPr>
  </w:style>
  <w:style w:type="paragraph" w:customStyle="1" w:styleId="Point1">
    <w:name w:val="Point 1"/>
    <w:basedOn w:val="Normal"/>
    <w:pPr>
      <w:ind w:left="1417" w:hanging="567"/>
    </w:pPr>
  </w:style>
  <w:style w:type="paragraph" w:customStyle="1" w:styleId="Point2">
    <w:name w:val="Point 2"/>
    <w:basedOn w:val="Normal"/>
    <w:pPr>
      <w:ind w:left="1984" w:hanging="567"/>
    </w:pPr>
  </w:style>
  <w:style w:type="paragraph" w:customStyle="1" w:styleId="Point3">
    <w:name w:val="Point 3"/>
    <w:basedOn w:val="Normal"/>
    <w:pPr>
      <w:ind w:left="2551" w:hanging="567"/>
    </w:pPr>
  </w:style>
  <w:style w:type="paragraph" w:customStyle="1" w:styleId="Point4">
    <w:name w:val="Point 4"/>
    <w:basedOn w:val="Normal"/>
    <w:pPr>
      <w:ind w:left="3118" w:hanging="567"/>
    </w:pPr>
  </w:style>
  <w:style w:type="paragraph" w:customStyle="1" w:styleId="Point5">
    <w:name w:val="Point 5"/>
    <w:basedOn w:val="Normal"/>
    <w:pPr>
      <w:ind w:left="3685" w:hanging="567"/>
    </w:pPr>
  </w:style>
  <w:style w:type="paragraph" w:customStyle="1" w:styleId="Tiret0">
    <w:name w:val="Tiret 0"/>
    <w:basedOn w:val="Point0"/>
    <w:pPr>
      <w:numPr>
        <w:numId w:val="26"/>
      </w:numPr>
    </w:pPr>
  </w:style>
  <w:style w:type="paragraph" w:customStyle="1" w:styleId="Tiret1">
    <w:name w:val="Tiret 1"/>
    <w:basedOn w:val="Point1"/>
    <w:pPr>
      <w:numPr>
        <w:numId w:val="27"/>
      </w:numPr>
    </w:pPr>
  </w:style>
  <w:style w:type="paragraph" w:customStyle="1" w:styleId="Tiret2">
    <w:name w:val="Tiret 2"/>
    <w:basedOn w:val="Point2"/>
    <w:pPr>
      <w:numPr>
        <w:numId w:val="28"/>
      </w:numPr>
    </w:pPr>
  </w:style>
  <w:style w:type="paragraph" w:customStyle="1" w:styleId="Tiret3">
    <w:name w:val="Tiret 3"/>
    <w:basedOn w:val="Point3"/>
    <w:pPr>
      <w:numPr>
        <w:numId w:val="29"/>
      </w:numPr>
    </w:pPr>
  </w:style>
  <w:style w:type="paragraph" w:customStyle="1" w:styleId="Tiret4">
    <w:name w:val="Tiret 4"/>
    <w:basedOn w:val="Point4"/>
    <w:pPr>
      <w:numPr>
        <w:numId w:val="30"/>
      </w:numPr>
    </w:pPr>
  </w:style>
  <w:style w:type="paragraph" w:customStyle="1" w:styleId="Tiret5">
    <w:name w:val="Tiret 5"/>
    <w:basedOn w:val="Point5"/>
    <w:pPr>
      <w:numPr>
        <w:numId w:val="31"/>
      </w:numPr>
    </w:pPr>
  </w:style>
  <w:style w:type="paragraph" w:customStyle="1" w:styleId="PointDouble0">
    <w:name w:val="PointDouble 0"/>
    <w:basedOn w:val="Normal"/>
    <w:pPr>
      <w:tabs>
        <w:tab w:val="left" w:pos="850"/>
      </w:tabs>
      <w:ind w:left="1417" w:hanging="1417"/>
    </w:pPr>
  </w:style>
  <w:style w:type="paragraph" w:customStyle="1" w:styleId="PointDouble1">
    <w:name w:val="PointDouble 1"/>
    <w:basedOn w:val="Normal"/>
    <w:pPr>
      <w:tabs>
        <w:tab w:val="left" w:pos="1417"/>
      </w:tabs>
      <w:ind w:left="1984" w:hanging="1134"/>
    </w:pPr>
  </w:style>
  <w:style w:type="paragraph" w:customStyle="1" w:styleId="PointDouble2">
    <w:name w:val="PointDouble 2"/>
    <w:basedOn w:val="Normal"/>
    <w:pPr>
      <w:tabs>
        <w:tab w:val="left" w:pos="1984"/>
      </w:tabs>
      <w:ind w:left="2551" w:hanging="1134"/>
    </w:pPr>
  </w:style>
  <w:style w:type="paragraph" w:customStyle="1" w:styleId="PointDouble3">
    <w:name w:val="PointDouble 3"/>
    <w:basedOn w:val="Normal"/>
    <w:pPr>
      <w:tabs>
        <w:tab w:val="left" w:pos="2551"/>
      </w:tabs>
      <w:ind w:left="3118" w:hanging="1134"/>
    </w:pPr>
  </w:style>
  <w:style w:type="paragraph" w:customStyle="1" w:styleId="PointDouble4">
    <w:name w:val="PointDouble 4"/>
    <w:basedOn w:val="Normal"/>
    <w:pPr>
      <w:tabs>
        <w:tab w:val="left" w:pos="3118"/>
      </w:tabs>
      <w:ind w:left="3685" w:hanging="1134"/>
    </w:pPr>
  </w:style>
  <w:style w:type="paragraph" w:customStyle="1" w:styleId="PointTriple0">
    <w:name w:val="PointTriple 0"/>
    <w:basedOn w:val="Normal"/>
    <w:pPr>
      <w:tabs>
        <w:tab w:val="left" w:pos="850"/>
        <w:tab w:val="left" w:pos="1417"/>
      </w:tabs>
      <w:ind w:left="1984" w:hanging="1984"/>
    </w:pPr>
  </w:style>
  <w:style w:type="paragraph" w:customStyle="1" w:styleId="PointTriple1">
    <w:name w:val="PointTriple 1"/>
    <w:basedOn w:val="Normal"/>
    <w:pPr>
      <w:tabs>
        <w:tab w:val="left" w:pos="1417"/>
        <w:tab w:val="left" w:pos="1984"/>
      </w:tabs>
      <w:ind w:left="2551" w:hanging="1701"/>
    </w:pPr>
  </w:style>
  <w:style w:type="paragraph" w:customStyle="1" w:styleId="PointTriple2">
    <w:name w:val="PointTriple 2"/>
    <w:basedOn w:val="Normal"/>
    <w:pPr>
      <w:tabs>
        <w:tab w:val="left" w:pos="1984"/>
        <w:tab w:val="left" w:pos="2551"/>
      </w:tabs>
      <w:ind w:left="3118" w:hanging="1701"/>
    </w:pPr>
  </w:style>
  <w:style w:type="paragraph" w:customStyle="1" w:styleId="PointTriple3">
    <w:name w:val="PointTriple 3"/>
    <w:basedOn w:val="Normal"/>
    <w:pPr>
      <w:tabs>
        <w:tab w:val="left" w:pos="2551"/>
        <w:tab w:val="left" w:pos="3118"/>
      </w:tabs>
      <w:ind w:left="3685" w:hanging="1701"/>
    </w:pPr>
  </w:style>
  <w:style w:type="paragraph" w:customStyle="1" w:styleId="PointTriple4">
    <w:name w:val="PointTriple 4"/>
    <w:basedOn w:val="Normal"/>
    <w:pPr>
      <w:tabs>
        <w:tab w:val="left" w:pos="3118"/>
        <w:tab w:val="left" w:pos="3685"/>
      </w:tabs>
      <w:ind w:left="4252" w:hanging="1701"/>
    </w:pPr>
  </w:style>
  <w:style w:type="paragraph" w:customStyle="1" w:styleId="NumPar1">
    <w:name w:val="NumPar 1"/>
    <w:basedOn w:val="Normal"/>
    <w:next w:val="Text1"/>
    <w:pPr>
      <w:numPr>
        <w:numId w:val="32"/>
      </w:numPr>
    </w:pPr>
  </w:style>
  <w:style w:type="paragraph" w:customStyle="1" w:styleId="NumPar2">
    <w:name w:val="NumPar 2"/>
    <w:basedOn w:val="Normal"/>
    <w:next w:val="Text1"/>
    <w:pPr>
      <w:numPr>
        <w:ilvl w:val="1"/>
        <w:numId w:val="32"/>
      </w:numPr>
    </w:pPr>
  </w:style>
  <w:style w:type="paragraph" w:customStyle="1" w:styleId="NumPar3">
    <w:name w:val="NumPar 3"/>
    <w:basedOn w:val="Normal"/>
    <w:next w:val="Text1"/>
    <w:pPr>
      <w:numPr>
        <w:ilvl w:val="2"/>
        <w:numId w:val="32"/>
      </w:numPr>
    </w:pPr>
  </w:style>
  <w:style w:type="paragraph" w:customStyle="1" w:styleId="NumPar4">
    <w:name w:val="NumPar 4"/>
    <w:basedOn w:val="Normal"/>
    <w:next w:val="Text1"/>
    <w:pPr>
      <w:numPr>
        <w:ilvl w:val="3"/>
        <w:numId w:val="32"/>
      </w:numPr>
    </w:pPr>
  </w:style>
  <w:style w:type="paragraph" w:customStyle="1" w:styleId="NumPar5">
    <w:name w:val="NumPar 5"/>
    <w:basedOn w:val="Normal"/>
    <w:next w:val="Text2"/>
    <w:pPr>
      <w:numPr>
        <w:ilvl w:val="4"/>
        <w:numId w:val="32"/>
      </w:numPr>
    </w:pPr>
  </w:style>
  <w:style w:type="paragraph" w:customStyle="1" w:styleId="NumPar6">
    <w:name w:val="NumPar 6"/>
    <w:basedOn w:val="Normal"/>
    <w:next w:val="Text2"/>
    <w:pPr>
      <w:numPr>
        <w:ilvl w:val="5"/>
        <w:numId w:val="32"/>
      </w:numPr>
    </w:pPr>
  </w:style>
  <w:style w:type="paragraph" w:customStyle="1" w:styleId="NumPar7">
    <w:name w:val="NumPar 7"/>
    <w:basedOn w:val="Normal"/>
    <w:next w:val="Text2"/>
    <w:pPr>
      <w:numPr>
        <w:ilvl w:val="6"/>
        <w:numId w:val="32"/>
      </w:numPr>
    </w:pPr>
  </w:style>
  <w:style w:type="paragraph" w:customStyle="1" w:styleId="ManualNumPar1">
    <w:name w:val="Manual NumPar 1"/>
    <w:basedOn w:val="Normal"/>
    <w:next w:val="Text1"/>
    <w:pPr>
      <w:ind w:left="850" w:hanging="850"/>
    </w:pPr>
  </w:style>
  <w:style w:type="paragraph" w:customStyle="1" w:styleId="ManualNumPar2">
    <w:name w:val="Manual NumPar 2"/>
    <w:basedOn w:val="Normal"/>
    <w:next w:val="Text1"/>
    <w:pPr>
      <w:ind w:left="850" w:hanging="850"/>
    </w:pPr>
  </w:style>
  <w:style w:type="paragraph" w:customStyle="1" w:styleId="ManualNumPar3">
    <w:name w:val="Manual NumPar 3"/>
    <w:basedOn w:val="Normal"/>
    <w:next w:val="Text1"/>
    <w:pPr>
      <w:ind w:left="850" w:hanging="850"/>
    </w:pPr>
  </w:style>
  <w:style w:type="paragraph" w:customStyle="1" w:styleId="ManualNumPar4">
    <w:name w:val="Manual NumPar 4"/>
    <w:basedOn w:val="Normal"/>
    <w:next w:val="Text1"/>
    <w:pPr>
      <w:ind w:left="850" w:hanging="850"/>
    </w:pPr>
  </w:style>
  <w:style w:type="paragraph" w:customStyle="1" w:styleId="ManualNumPar5">
    <w:name w:val="Manual NumPar 5"/>
    <w:basedOn w:val="Normal"/>
    <w:next w:val="Text2"/>
    <w:pPr>
      <w:ind w:left="1417" w:hanging="1417"/>
    </w:pPr>
  </w:style>
  <w:style w:type="paragraph" w:customStyle="1" w:styleId="ManualNumPar6">
    <w:name w:val="Manual NumPar 6"/>
    <w:basedOn w:val="Normal"/>
    <w:next w:val="Text2"/>
    <w:pPr>
      <w:ind w:left="1417" w:hanging="1417"/>
    </w:pPr>
  </w:style>
  <w:style w:type="paragraph" w:customStyle="1" w:styleId="ManualNumPar7">
    <w:name w:val="Manual NumPar 7"/>
    <w:basedOn w:val="Normal"/>
    <w:next w:val="Text2"/>
    <w:pPr>
      <w:ind w:left="1417" w:hanging="1417"/>
    </w:pPr>
  </w:style>
  <w:style w:type="paragraph" w:customStyle="1" w:styleId="QuotedNumPar">
    <w:name w:val="Quoted NumPar"/>
    <w:basedOn w:val="Normal"/>
    <w:pPr>
      <w:ind w:left="1417" w:hanging="567"/>
    </w:pPr>
  </w:style>
  <w:style w:type="paragraph" w:customStyle="1" w:styleId="ManualHeading1">
    <w:name w:val="Manual Heading 1"/>
    <w:basedOn w:val="Normal"/>
    <w:next w:val="Text1"/>
    <w:pPr>
      <w:keepNext/>
      <w:tabs>
        <w:tab w:val="left" w:pos="850"/>
      </w:tabs>
      <w:spacing w:before="360"/>
      <w:ind w:left="850" w:hanging="850"/>
      <w:outlineLvl w:val="0"/>
    </w:pPr>
    <w:rPr>
      <w:b/>
      <w:smallCaps/>
    </w:rPr>
  </w:style>
  <w:style w:type="paragraph" w:customStyle="1" w:styleId="ManualHeading2">
    <w:name w:val="Manual Heading 2"/>
    <w:basedOn w:val="Normal"/>
    <w:next w:val="Text1"/>
    <w:pPr>
      <w:keepNext/>
      <w:tabs>
        <w:tab w:val="left" w:pos="850"/>
      </w:tabs>
      <w:ind w:left="850" w:hanging="850"/>
      <w:outlineLvl w:val="1"/>
    </w:pPr>
    <w:rPr>
      <w:b/>
    </w:rPr>
  </w:style>
  <w:style w:type="paragraph" w:customStyle="1" w:styleId="ManualHeading3">
    <w:name w:val="Manual Heading 3"/>
    <w:basedOn w:val="Normal"/>
    <w:next w:val="Text1"/>
    <w:pPr>
      <w:keepNext/>
      <w:tabs>
        <w:tab w:val="left" w:pos="850"/>
      </w:tabs>
      <w:ind w:left="850" w:hanging="850"/>
      <w:outlineLvl w:val="2"/>
    </w:pPr>
    <w:rPr>
      <w:i/>
    </w:rPr>
  </w:style>
  <w:style w:type="paragraph" w:customStyle="1" w:styleId="ManualHeading4">
    <w:name w:val="Manual Heading 4"/>
    <w:basedOn w:val="Normal"/>
    <w:next w:val="Text1"/>
    <w:pPr>
      <w:keepNext/>
      <w:tabs>
        <w:tab w:val="left" w:pos="850"/>
      </w:tabs>
      <w:ind w:left="850" w:hanging="850"/>
      <w:outlineLvl w:val="3"/>
    </w:pPr>
  </w:style>
  <w:style w:type="paragraph" w:customStyle="1" w:styleId="ManualHeading5">
    <w:name w:val="Manual Heading 5"/>
    <w:basedOn w:val="Normal"/>
    <w:next w:val="Text2"/>
    <w:pPr>
      <w:keepNext/>
      <w:tabs>
        <w:tab w:val="left" w:pos="1417"/>
      </w:tabs>
      <w:ind w:left="1417" w:hanging="1417"/>
      <w:outlineLvl w:val="4"/>
    </w:pPr>
  </w:style>
  <w:style w:type="paragraph" w:customStyle="1" w:styleId="ManualHeading6">
    <w:name w:val="Manual Heading 6"/>
    <w:basedOn w:val="Normal"/>
    <w:next w:val="Text2"/>
    <w:pPr>
      <w:keepNext/>
      <w:tabs>
        <w:tab w:val="left" w:pos="1417"/>
      </w:tabs>
      <w:ind w:left="1417" w:hanging="1417"/>
      <w:outlineLvl w:val="5"/>
    </w:pPr>
  </w:style>
  <w:style w:type="paragraph" w:customStyle="1" w:styleId="ManualHeading7">
    <w:name w:val="Manual Heading 7"/>
    <w:basedOn w:val="Normal"/>
    <w:next w:val="Text2"/>
    <w:pPr>
      <w:keepNext/>
      <w:tabs>
        <w:tab w:val="left" w:pos="1417"/>
      </w:tabs>
      <w:ind w:left="1417" w:hanging="1417"/>
      <w:outlineLvl w:val="6"/>
    </w:pPr>
  </w:style>
  <w:style w:type="paragraph" w:customStyle="1" w:styleId="ChapterTitle">
    <w:name w:val="ChapterTitle"/>
    <w:basedOn w:val="Normal"/>
    <w:next w:val="Normal"/>
    <w:pPr>
      <w:keepNext/>
      <w:spacing w:after="360"/>
      <w:jc w:val="center"/>
    </w:pPr>
    <w:rPr>
      <w:b/>
      <w:sz w:val="32"/>
    </w:rPr>
  </w:style>
  <w:style w:type="paragraph" w:customStyle="1" w:styleId="PartTitle">
    <w:name w:val="PartTitle"/>
    <w:basedOn w:val="Normal"/>
    <w:next w:val="ChapterTitle"/>
    <w:pPr>
      <w:keepNext/>
      <w:pageBreakBefore/>
      <w:spacing w:after="360"/>
      <w:jc w:val="center"/>
    </w:pPr>
    <w:rPr>
      <w:b/>
      <w:sz w:val="36"/>
    </w:rPr>
  </w:style>
  <w:style w:type="paragraph" w:customStyle="1" w:styleId="SectionTitle">
    <w:name w:val="SectionTitle"/>
    <w:basedOn w:val="Normal"/>
    <w:next w:val="Heading1"/>
    <w:pPr>
      <w:keepNext/>
      <w:spacing w:after="360"/>
      <w:jc w:val="center"/>
    </w:pPr>
    <w:rPr>
      <w:b/>
      <w:smallCaps/>
      <w:sz w:val="28"/>
    </w:rPr>
  </w:style>
  <w:style w:type="paragraph" w:customStyle="1" w:styleId="TableTitle">
    <w:name w:val="Table Title"/>
    <w:basedOn w:val="Normal"/>
    <w:next w:val="Normal"/>
    <w:pPr>
      <w:jc w:val="center"/>
    </w:pPr>
    <w:rPr>
      <w:b/>
    </w:rPr>
  </w:style>
  <w:style w:type="character" w:customStyle="1" w:styleId="Marker">
    <w:name w:val="Marker"/>
    <w:basedOn w:val="DefaultParagraphFont"/>
    <w:rPr>
      <w:color w:val="0000FF"/>
      <w:shd w:val="clear" w:color="auto" w:fill="auto"/>
    </w:rPr>
  </w:style>
  <w:style w:type="character" w:customStyle="1" w:styleId="Marker1">
    <w:name w:val="Marker1"/>
    <w:basedOn w:val="DefaultParagraphFont"/>
    <w:rPr>
      <w:color w:val="008000"/>
      <w:shd w:val="clear" w:color="auto" w:fill="auto"/>
    </w:rPr>
  </w:style>
  <w:style w:type="character" w:customStyle="1" w:styleId="Marker2">
    <w:name w:val="Marker2"/>
    <w:basedOn w:val="DefaultParagraphFont"/>
    <w:rPr>
      <w:color w:val="FF0000"/>
      <w:shd w:val="clear" w:color="auto" w:fill="auto"/>
    </w:rPr>
  </w:style>
  <w:style w:type="paragraph" w:customStyle="1" w:styleId="Point0number">
    <w:name w:val="Point 0 (number)"/>
    <w:basedOn w:val="Normal"/>
    <w:pPr>
      <w:numPr>
        <w:numId w:val="34"/>
      </w:numPr>
    </w:pPr>
  </w:style>
  <w:style w:type="paragraph" w:customStyle="1" w:styleId="Point1number">
    <w:name w:val="Point 1 (number)"/>
    <w:basedOn w:val="Normal"/>
    <w:pPr>
      <w:numPr>
        <w:ilvl w:val="2"/>
        <w:numId w:val="34"/>
      </w:numPr>
    </w:pPr>
  </w:style>
  <w:style w:type="paragraph" w:customStyle="1" w:styleId="Point2number">
    <w:name w:val="Point 2 (number)"/>
    <w:basedOn w:val="Normal"/>
    <w:pPr>
      <w:numPr>
        <w:ilvl w:val="4"/>
        <w:numId w:val="34"/>
      </w:numPr>
    </w:pPr>
  </w:style>
  <w:style w:type="paragraph" w:customStyle="1" w:styleId="Point3number">
    <w:name w:val="Point 3 (number)"/>
    <w:basedOn w:val="Normal"/>
    <w:pPr>
      <w:numPr>
        <w:ilvl w:val="6"/>
        <w:numId w:val="34"/>
      </w:numPr>
    </w:pPr>
  </w:style>
  <w:style w:type="paragraph" w:customStyle="1" w:styleId="Point0letter">
    <w:name w:val="Point 0 (letter)"/>
    <w:basedOn w:val="Normal"/>
    <w:pPr>
      <w:numPr>
        <w:ilvl w:val="1"/>
        <w:numId w:val="34"/>
      </w:numPr>
    </w:pPr>
  </w:style>
  <w:style w:type="paragraph" w:customStyle="1" w:styleId="Point1letter">
    <w:name w:val="Point 1 (letter)"/>
    <w:basedOn w:val="Normal"/>
    <w:pPr>
      <w:numPr>
        <w:ilvl w:val="3"/>
        <w:numId w:val="34"/>
      </w:numPr>
    </w:pPr>
  </w:style>
  <w:style w:type="paragraph" w:customStyle="1" w:styleId="Point2letter">
    <w:name w:val="Point 2 (letter)"/>
    <w:basedOn w:val="Normal"/>
    <w:pPr>
      <w:numPr>
        <w:ilvl w:val="5"/>
        <w:numId w:val="34"/>
      </w:numPr>
    </w:pPr>
  </w:style>
  <w:style w:type="paragraph" w:customStyle="1" w:styleId="Point3letter">
    <w:name w:val="Point 3 (letter)"/>
    <w:basedOn w:val="Normal"/>
    <w:pPr>
      <w:numPr>
        <w:ilvl w:val="7"/>
        <w:numId w:val="34"/>
      </w:numPr>
    </w:pPr>
  </w:style>
  <w:style w:type="paragraph" w:customStyle="1" w:styleId="Point4letter">
    <w:name w:val="Point 4 (letter)"/>
    <w:basedOn w:val="Normal"/>
    <w:pPr>
      <w:numPr>
        <w:ilvl w:val="8"/>
        <w:numId w:val="34"/>
      </w:numPr>
    </w:pPr>
  </w:style>
  <w:style w:type="paragraph" w:customStyle="1" w:styleId="Bullet0">
    <w:name w:val="Bullet 0"/>
    <w:basedOn w:val="Normal"/>
    <w:pPr>
      <w:numPr>
        <w:numId w:val="35"/>
      </w:numPr>
    </w:pPr>
  </w:style>
  <w:style w:type="paragraph" w:customStyle="1" w:styleId="Bullet1">
    <w:name w:val="Bullet 1"/>
    <w:basedOn w:val="Normal"/>
    <w:pPr>
      <w:numPr>
        <w:numId w:val="36"/>
      </w:numPr>
    </w:pPr>
  </w:style>
  <w:style w:type="paragraph" w:customStyle="1" w:styleId="Bullet2">
    <w:name w:val="Bullet 2"/>
    <w:basedOn w:val="Normal"/>
    <w:pPr>
      <w:numPr>
        <w:numId w:val="37"/>
      </w:numPr>
    </w:pPr>
  </w:style>
  <w:style w:type="paragraph" w:customStyle="1" w:styleId="Bullet3">
    <w:name w:val="Bullet 3"/>
    <w:basedOn w:val="Normal"/>
    <w:pPr>
      <w:numPr>
        <w:numId w:val="38"/>
      </w:numPr>
    </w:pPr>
  </w:style>
  <w:style w:type="paragraph" w:customStyle="1" w:styleId="Bullet4">
    <w:name w:val="Bullet 4"/>
    <w:basedOn w:val="Normal"/>
    <w:pPr>
      <w:numPr>
        <w:numId w:val="39"/>
      </w:numPr>
    </w:pPr>
  </w:style>
  <w:style w:type="paragraph" w:customStyle="1" w:styleId="Langue">
    <w:name w:val="Langue"/>
    <w:basedOn w:val="Normal"/>
    <w:next w:val="Rfrenceinterne"/>
    <w:pPr>
      <w:framePr w:wrap="around" w:vAnchor="page" w:hAnchor="text" w:xAlign="center" w:y="14741"/>
      <w:spacing w:before="0" w:after="600"/>
      <w:jc w:val="center"/>
    </w:pPr>
    <w:rPr>
      <w:b/>
      <w:caps/>
    </w:rPr>
  </w:style>
  <w:style w:type="paragraph" w:customStyle="1" w:styleId="Nomdelinstitution">
    <w:name w:val="Nom de l'institution"/>
    <w:basedOn w:val="Normal"/>
    <w:next w:val="Emission"/>
    <w:pPr>
      <w:spacing w:before="0" w:after="0"/>
      <w:jc w:val="left"/>
    </w:pPr>
    <w:rPr>
      <w:rFonts w:ascii="Arial" w:hAnsi="Arial" w:cs="Arial"/>
    </w:rPr>
  </w:style>
  <w:style w:type="paragraph" w:customStyle="1" w:styleId="Emission">
    <w:name w:val="Emission"/>
    <w:basedOn w:val="Normal"/>
    <w:next w:val="Rfrenceinstitutionnelle"/>
    <w:pPr>
      <w:spacing w:before="0" w:after="0"/>
      <w:ind w:left="5103"/>
      <w:jc w:val="left"/>
    </w:pPr>
  </w:style>
  <w:style w:type="paragraph" w:customStyle="1" w:styleId="Rfrenceinstitutionnelle">
    <w:name w:val="Référence institutionnelle"/>
    <w:basedOn w:val="Normal"/>
    <w:next w:val="Confidentialit"/>
    <w:pPr>
      <w:spacing w:before="0" w:after="240"/>
      <w:ind w:left="5103"/>
      <w:jc w:val="left"/>
    </w:pPr>
  </w:style>
  <w:style w:type="paragraph" w:customStyle="1" w:styleId="Pagedecouverture">
    <w:name w:val="Page de couverture"/>
    <w:basedOn w:val="Normal"/>
    <w:next w:val="Normal"/>
    <w:pPr>
      <w:spacing w:before="0" w:after="0"/>
    </w:pPr>
  </w:style>
  <w:style w:type="paragraph" w:customStyle="1" w:styleId="Declassification">
    <w:name w:val="Declassification"/>
    <w:basedOn w:val="Normal"/>
    <w:next w:val="Normal"/>
    <w:pPr>
      <w:spacing w:before="0" w:after="0"/>
    </w:pPr>
  </w:style>
  <w:style w:type="paragraph" w:customStyle="1" w:styleId="Disclaimer">
    <w:name w:val="Disclaimer"/>
    <w:basedOn w:val="Normal"/>
    <w:pPr>
      <w:framePr w:w="8220" w:wrap="notBeside" w:hAnchor="margin" w:xAlign="center" w:y="10401"/>
      <w:pBdr>
        <w:top w:val="single" w:sz="6" w:space="4" w:color="auto"/>
        <w:left w:val="single" w:sz="6" w:space="7" w:color="auto"/>
        <w:bottom w:val="single" w:sz="6" w:space="4" w:color="auto"/>
        <w:right w:val="single" w:sz="6" w:space="7" w:color="auto"/>
      </w:pBdr>
      <w:shd w:val="clear" w:color="FFFFFF" w:fill="auto"/>
    </w:pPr>
  </w:style>
  <w:style w:type="paragraph" w:customStyle="1" w:styleId="SecurityMarking">
    <w:name w:val="SecurityMarking"/>
    <w:basedOn w:val="Normal"/>
    <w:pPr>
      <w:spacing w:before="0" w:after="0" w:line="276" w:lineRule="auto"/>
      <w:ind w:left="5103"/>
      <w:jc w:val="left"/>
    </w:pPr>
    <w:rPr>
      <w:sz w:val="28"/>
    </w:rPr>
  </w:style>
  <w:style w:type="paragraph" w:customStyle="1" w:styleId="DateMarking">
    <w:name w:val="DateMarking"/>
    <w:basedOn w:val="Normal"/>
    <w:pPr>
      <w:spacing w:before="0" w:after="0" w:line="276" w:lineRule="auto"/>
      <w:ind w:left="5103"/>
      <w:jc w:val="left"/>
    </w:pPr>
    <w:rPr>
      <w:i/>
      <w:sz w:val="28"/>
    </w:rPr>
  </w:style>
  <w:style w:type="paragraph" w:customStyle="1" w:styleId="ReleasableTo">
    <w:name w:val="ReleasableTo"/>
    <w:basedOn w:val="Normal"/>
    <w:pPr>
      <w:spacing w:before="0" w:after="0" w:line="276" w:lineRule="auto"/>
      <w:ind w:left="5103"/>
      <w:jc w:val="left"/>
    </w:pPr>
    <w:rPr>
      <w:i/>
      <w:sz w:val="28"/>
    </w:rPr>
  </w:style>
  <w:style w:type="paragraph" w:customStyle="1" w:styleId="Annexetitreexpos">
    <w:name w:val="Annexe titre (exposé)"/>
    <w:basedOn w:val="Normal"/>
    <w:next w:val="Normal"/>
    <w:pPr>
      <w:jc w:val="center"/>
    </w:pPr>
    <w:rPr>
      <w:b/>
      <w:u w:val="single"/>
    </w:rPr>
  </w:style>
  <w:style w:type="paragraph" w:customStyle="1" w:styleId="Annexetitre">
    <w:name w:val="Annexe titre"/>
    <w:basedOn w:val="Normal"/>
    <w:next w:val="Normal"/>
    <w:pPr>
      <w:jc w:val="center"/>
    </w:pPr>
    <w:rPr>
      <w:b/>
      <w:u w:val="single"/>
    </w:rPr>
  </w:style>
  <w:style w:type="paragraph" w:customStyle="1" w:styleId="Annexetitrefichefinancire">
    <w:name w:val="Annexe titre (fiche financière)"/>
    <w:basedOn w:val="Normal"/>
    <w:next w:val="Normal"/>
    <w:pPr>
      <w:jc w:val="center"/>
    </w:pPr>
    <w:rPr>
      <w:b/>
      <w:u w:val="single"/>
    </w:rPr>
  </w:style>
  <w:style w:type="paragraph" w:customStyle="1" w:styleId="Applicationdirecte">
    <w:name w:val="Application directe"/>
    <w:basedOn w:val="Normal"/>
    <w:next w:val="Fait"/>
    <w:pPr>
      <w:spacing w:before="480"/>
    </w:pPr>
  </w:style>
  <w:style w:type="paragraph" w:customStyle="1" w:styleId="Avertissementtitre">
    <w:name w:val="Avertissement titre"/>
    <w:basedOn w:val="Normal"/>
    <w:next w:val="Normal"/>
    <w:pPr>
      <w:keepNext/>
      <w:spacing w:before="480"/>
    </w:pPr>
    <w:rPr>
      <w:u w:val="single"/>
    </w:rPr>
  </w:style>
  <w:style w:type="paragraph" w:customStyle="1" w:styleId="Confidence">
    <w:name w:val="Confidence"/>
    <w:basedOn w:val="Normal"/>
    <w:next w:val="Normal"/>
    <w:pPr>
      <w:spacing w:before="360"/>
      <w:jc w:val="center"/>
    </w:pPr>
  </w:style>
  <w:style w:type="paragraph" w:customStyle="1" w:styleId="Confidentialit">
    <w:name w:val="Confidentialité"/>
    <w:basedOn w:val="Normal"/>
    <w:next w:val="TypedudocumentPagedecouverture"/>
    <w:pPr>
      <w:spacing w:before="240" w:after="240"/>
      <w:ind w:left="5103"/>
      <w:jc w:val="left"/>
    </w:pPr>
    <w:rPr>
      <w:i/>
      <w:sz w:val="32"/>
    </w:rPr>
  </w:style>
  <w:style w:type="paragraph" w:customStyle="1" w:styleId="Considrant">
    <w:name w:val="Considérant"/>
    <w:basedOn w:val="Normal"/>
    <w:pPr>
      <w:numPr>
        <w:numId w:val="40"/>
      </w:numPr>
    </w:pPr>
  </w:style>
  <w:style w:type="paragraph" w:customStyle="1" w:styleId="Corrigendum">
    <w:name w:val="Corrigendum"/>
    <w:basedOn w:val="Normal"/>
    <w:next w:val="Normal"/>
    <w:pPr>
      <w:spacing w:before="0" w:after="240"/>
      <w:jc w:val="left"/>
    </w:pPr>
  </w:style>
  <w:style w:type="paragraph" w:customStyle="1" w:styleId="Datedadoption">
    <w:name w:val="Date d'adoption"/>
    <w:basedOn w:val="Normal"/>
    <w:next w:val="Titreobjet"/>
    <w:pPr>
      <w:spacing w:before="360" w:after="0"/>
      <w:jc w:val="center"/>
    </w:pPr>
    <w:rPr>
      <w:b/>
    </w:rPr>
  </w:style>
  <w:style w:type="paragraph" w:customStyle="1" w:styleId="Exposdesmotifstitre">
    <w:name w:val="Exposé des motifs titre"/>
    <w:basedOn w:val="Normal"/>
    <w:next w:val="Normal"/>
    <w:pPr>
      <w:jc w:val="center"/>
    </w:pPr>
    <w:rPr>
      <w:b/>
      <w:u w:val="single"/>
    </w:rPr>
  </w:style>
  <w:style w:type="paragraph" w:customStyle="1" w:styleId="Fait">
    <w:name w:val="Fait à"/>
    <w:basedOn w:val="Normal"/>
    <w:next w:val="Institutionquisigne"/>
    <w:pPr>
      <w:keepNext/>
      <w:spacing w:after="0"/>
    </w:pPr>
  </w:style>
  <w:style w:type="paragraph" w:customStyle="1" w:styleId="Formuledadoption">
    <w:name w:val="Formule d'adoption"/>
    <w:basedOn w:val="Normal"/>
    <w:next w:val="Titrearticle"/>
    <w:pPr>
      <w:keepNext/>
    </w:pPr>
  </w:style>
  <w:style w:type="paragraph" w:customStyle="1" w:styleId="Institutionquiagit">
    <w:name w:val="Institution qui agit"/>
    <w:basedOn w:val="Normal"/>
    <w:next w:val="Normal"/>
    <w:pPr>
      <w:keepNext/>
      <w:spacing w:before="600"/>
    </w:pPr>
  </w:style>
  <w:style w:type="paragraph" w:customStyle="1" w:styleId="Institutionquisigne">
    <w:name w:val="Institution qui signe"/>
    <w:basedOn w:val="Normal"/>
    <w:next w:val="Personnequisigne"/>
    <w:pPr>
      <w:keepNext/>
      <w:tabs>
        <w:tab w:val="left" w:pos="4252"/>
      </w:tabs>
      <w:spacing w:before="720" w:after="0"/>
    </w:pPr>
    <w:rPr>
      <w:i/>
    </w:rPr>
  </w:style>
  <w:style w:type="paragraph" w:customStyle="1" w:styleId="ManualConsidrant">
    <w:name w:val="Manual Considérant"/>
    <w:basedOn w:val="Normal"/>
    <w:pPr>
      <w:ind w:left="709" w:hanging="709"/>
    </w:pPr>
  </w:style>
  <w:style w:type="paragraph" w:customStyle="1" w:styleId="Personnequisigne">
    <w:name w:val="Personne qui signe"/>
    <w:basedOn w:val="Normal"/>
    <w:next w:val="Institutionquisigne"/>
    <w:pPr>
      <w:tabs>
        <w:tab w:val="left" w:pos="4252"/>
      </w:tabs>
      <w:spacing w:before="0" w:after="0"/>
      <w:jc w:val="left"/>
    </w:pPr>
    <w:rPr>
      <w:i/>
    </w:rPr>
  </w:style>
  <w:style w:type="paragraph" w:customStyle="1" w:styleId="Rfrenceinterinstitutionnelle">
    <w:name w:val="Référence interinstitutionnelle"/>
    <w:basedOn w:val="Normal"/>
    <w:next w:val="Statut"/>
    <w:pPr>
      <w:spacing w:before="0" w:after="0"/>
      <w:ind w:left="5103"/>
      <w:jc w:val="left"/>
    </w:pPr>
  </w:style>
  <w:style w:type="paragraph" w:customStyle="1" w:styleId="Rfrenceinterne">
    <w:name w:val="Référence interne"/>
    <w:basedOn w:val="Normal"/>
    <w:next w:val="Rfrenceinterinstitutionnelle"/>
    <w:pPr>
      <w:spacing w:before="0" w:after="0"/>
      <w:ind w:left="5103"/>
      <w:jc w:val="left"/>
    </w:pPr>
  </w:style>
  <w:style w:type="paragraph" w:customStyle="1" w:styleId="Statut">
    <w:name w:val="Statut"/>
    <w:basedOn w:val="Normal"/>
    <w:next w:val="Typedudocument"/>
    <w:pPr>
      <w:spacing w:before="360" w:after="0"/>
      <w:jc w:val="center"/>
    </w:pPr>
  </w:style>
  <w:style w:type="paragraph" w:customStyle="1" w:styleId="Titrearticle">
    <w:name w:val="Titre article"/>
    <w:basedOn w:val="Normal"/>
    <w:next w:val="Normal"/>
    <w:pPr>
      <w:keepNext/>
      <w:spacing w:before="360"/>
      <w:jc w:val="center"/>
    </w:pPr>
    <w:rPr>
      <w:i/>
    </w:rPr>
  </w:style>
  <w:style w:type="paragraph" w:customStyle="1" w:styleId="Titreobjet">
    <w:name w:val="Titre objet"/>
    <w:basedOn w:val="Normal"/>
    <w:next w:val="IntrtEEE"/>
    <w:pPr>
      <w:spacing w:before="360" w:after="360"/>
      <w:jc w:val="center"/>
    </w:pPr>
    <w:rPr>
      <w:b/>
    </w:rPr>
  </w:style>
  <w:style w:type="paragraph" w:customStyle="1" w:styleId="Typedudocument">
    <w:name w:val="Type du document"/>
    <w:basedOn w:val="Normal"/>
    <w:next w:val="Titreobjet"/>
    <w:pPr>
      <w:spacing w:before="360" w:after="0"/>
      <w:jc w:val="center"/>
    </w:pPr>
    <w:rPr>
      <w:b/>
    </w:rPr>
  </w:style>
  <w:style w:type="character" w:customStyle="1" w:styleId="Added">
    <w:name w:val="Added"/>
    <w:basedOn w:val="DefaultParagraphFont"/>
    <w:rPr>
      <w:b/>
      <w:u w:val="single"/>
      <w:shd w:val="clear" w:color="auto" w:fill="auto"/>
    </w:rPr>
  </w:style>
  <w:style w:type="character" w:customStyle="1" w:styleId="Deleted">
    <w:name w:val="Deleted"/>
    <w:basedOn w:val="DefaultParagraphFont"/>
    <w:rPr>
      <w:strike/>
      <w:dstrike w:val="0"/>
      <w:shd w:val="clear" w:color="auto" w:fill="auto"/>
    </w:rPr>
  </w:style>
  <w:style w:type="paragraph" w:customStyle="1" w:styleId="Address">
    <w:name w:val="Address"/>
    <w:basedOn w:val="Normal"/>
    <w:next w:val="Normal"/>
    <w:pPr>
      <w:keepLines/>
      <w:spacing w:line="360" w:lineRule="auto"/>
      <w:ind w:left="3402"/>
      <w:jc w:val="left"/>
    </w:pPr>
  </w:style>
  <w:style w:type="paragraph" w:customStyle="1" w:styleId="Objetexterne">
    <w:name w:val="Objet externe"/>
    <w:basedOn w:val="Normal"/>
    <w:next w:val="Normal"/>
    <w:rPr>
      <w:i/>
      <w:caps/>
    </w:rPr>
  </w:style>
  <w:style w:type="paragraph" w:customStyle="1" w:styleId="Supertitre">
    <w:name w:val="Supertitre"/>
    <w:basedOn w:val="Normal"/>
    <w:next w:val="Normal"/>
    <w:pPr>
      <w:spacing w:before="0" w:after="600"/>
      <w:jc w:val="center"/>
    </w:pPr>
    <w:rPr>
      <w:b/>
    </w:rPr>
  </w:style>
  <w:style w:type="paragraph" w:customStyle="1" w:styleId="Languesfaisantfoi">
    <w:name w:val="Langues faisant foi"/>
    <w:basedOn w:val="Normal"/>
    <w:next w:val="Normal"/>
    <w:rsid w:val="00E664ED"/>
    <w:pPr>
      <w:spacing w:before="360" w:after="240"/>
      <w:jc w:val="center"/>
    </w:pPr>
  </w:style>
  <w:style w:type="paragraph" w:customStyle="1" w:styleId="Rfrencecroise">
    <w:name w:val="Référence croisée"/>
    <w:basedOn w:val="Normal"/>
    <w:pPr>
      <w:spacing w:before="0" w:after="0"/>
      <w:jc w:val="center"/>
    </w:pPr>
  </w:style>
  <w:style w:type="paragraph" w:customStyle="1" w:styleId="Fichefinanciretitre">
    <w:name w:val="Fiche financière titre"/>
    <w:basedOn w:val="Normal"/>
    <w:next w:val="Normal"/>
    <w:pPr>
      <w:jc w:val="center"/>
    </w:pPr>
    <w:rPr>
      <w:b/>
      <w:u w:val="single"/>
    </w:rPr>
  </w:style>
  <w:style w:type="paragraph" w:customStyle="1" w:styleId="DatedadoptionPagedecouverture">
    <w:name w:val="Date d'adoption (Page de couverture)"/>
    <w:basedOn w:val="Datedadoption"/>
    <w:next w:val="TitreobjetPagedecouverture"/>
  </w:style>
  <w:style w:type="paragraph" w:customStyle="1" w:styleId="RfrenceinterinstitutionnellePagedecouverture">
    <w:name w:val="Référence interinstitutionnelle (Page de couverture)"/>
    <w:basedOn w:val="Rfrenceinterinstitutionnelle"/>
    <w:next w:val="Confidentialit"/>
  </w:style>
  <w:style w:type="paragraph" w:customStyle="1" w:styleId="StatutPagedecouverture">
    <w:name w:val="Statut (Page de couverture)"/>
    <w:basedOn w:val="Statut"/>
    <w:next w:val="TypedudocumentPagedecouverture"/>
  </w:style>
  <w:style w:type="paragraph" w:customStyle="1" w:styleId="TitreobjetPagedecouverture">
    <w:name w:val="Titre objet (Page de couverture)"/>
    <w:basedOn w:val="Titreobjet"/>
    <w:next w:val="IntrtEEEPagedecouverture"/>
  </w:style>
  <w:style w:type="paragraph" w:customStyle="1" w:styleId="TypedudocumentPagedecouverture">
    <w:name w:val="Type du document (Page de couverture)"/>
    <w:basedOn w:val="Typedudocument"/>
    <w:next w:val="TitreobjetPagedecouverture"/>
  </w:style>
  <w:style w:type="paragraph" w:customStyle="1" w:styleId="Volume">
    <w:name w:val="Volume"/>
    <w:basedOn w:val="Normal"/>
    <w:next w:val="Confidentialit"/>
    <w:pPr>
      <w:spacing w:before="0" w:after="240"/>
      <w:ind w:left="5103"/>
      <w:jc w:val="left"/>
    </w:pPr>
  </w:style>
  <w:style w:type="paragraph" w:customStyle="1" w:styleId="IntrtEEE">
    <w:name w:val="Intérêt EEE"/>
    <w:basedOn w:val="Languesfaisantfoi"/>
    <w:next w:val="Normal"/>
    <w:rsid w:val="00E664ED"/>
    <w:pPr>
      <w:spacing w:after="0"/>
    </w:pPr>
  </w:style>
  <w:style w:type="paragraph" w:customStyle="1" w:styleId="Accompagnant">
    <w:name w:val="Accompagnant"/>
    <w:basedOn w:val="Normal"/>
    <w:next w:val="Typeacteprincipal"/>
    <w:pPr>
      <w:spacing w:before="0" w:after="240"/>
      <w:jc w:val="center"/>
    </w:pPr>
    <w:rPr>
      <w:b/>
      <w:i/>
    </w:rPr>
  </w:style>
  <w:style w:type="paragraph" w:customStyle="1" w:styleId="Typeacteprincipal">
    <w:name w:val="Type acte principal"/>
    <w:basedOn w:val="Normal"/>
    <w:next w:val="Objetacteprincipal"/>
    <w:pPr>
      <w:spacing w:before="0" w:after="240"/>
      <w:jc w:val="center"/>
    </w:pPr>
    <w:rPr>
      <w:b/>
    </w:rPr>
  </w:style>
  <w:style w:type="paragraph" w:customStyle="1" w:styleId="Objetacteprincipal">
    <w:name w:val="Objet acte principal"/>
    <w:basedOn w:val="Normal"/>
    <w:next w:val="Titrearticle"/>
    <w:pPr>
      <w:spacing w:before="0" w:after="360"/>
      <w:jc w:val="center"/>
    </w:pPr>
    <w:rPr>
      <w:b/>
    </w:rPr>
  </w:style>
  <w:style w:type="paragraph" w:customStyle="1" w:styleId="IntrtEEEPagedecouverture">
    <w:name w:val="Intérêt EEE (Page de couverture)"/>
    <w:basedOn w:val="IntrtEEE"/>
    <w:next w:val="Normal"/>
    <w:rsid w:val="00E664ED"/>
  </w:style>
  <w:style w:type="paragraph" w:customStyle="1" w:styleId="AccompagnantPagedecouverture">
    <w:name w:val="Accompagnant (Page de couverture)"/>
    <w:basedOn w:val="Accompagnant"/>
    <w:next w:val="TypeacteprincipalPagedecouverture"/>
  </w:style>
  <w:style w:type="paragraph" w:customStyle="1" w:styleId="TypeacteprincipalPagedecouverture">
    <w:name w:val="Type acte principal (Page de couverture)"/>
    <w:basedOn w:val="Typeacteprincipal"/>
    <w:next w:val="ObjetacteprincipalPagedecouverture"/>
  </w:style>
  <w:style w:type="paragraph" w:customStyle="1" w:styleId="ObjetacteprincipalPagedecouverture">
    <w:name w:val="Objet acte principal (Page de couverture)"/>
    <w:basedOn w:val="Objetacteprincipal"/>
    <w:next w:val="Rfrencecroise"/>
  </w:style>
  <w:style w:type="paragraph" w:customStyle="1" w:styleId="LanguesfaisantfoiPagedecouverture">
    <w:name w:val="Langues faisant foi (Page de couverture)"/>
    <w:basedOn w:val="Normal"/>
    <w:next w:val="Rfrencecroise"/>
    <w:rsid w:val="00E664ED"/>
    <w:pPr>
      <w:spacing w:before="360" w:after="24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6.xml"/></Relationships>
</file>

<file path=word/_rels/footnotes.xml.rels><?xml version="1.0" encoding="UTF-8" standalone="yes"?>
<Relationships xmlns="http://schemas.openxmlformats.org/package/2006/relationships"><Relationship Id="rId2" Type="http://schemas.openxmlformats.org/officeDocument/2006/relationships/hyperlink" Target="http://data.europa.eu/eli/reg_del/2014/1062/oj" TargetMode="External"/><Relationship Id="rId1" Type="http://schemas.openxmlformats.org/officeDocument/2006/relationships/hyperlink" Target="http://data.europa.eu/eli/reg/2012/528/oj"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COM.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 StyleName="" Version="0"/>
</file>

<file path=customXml/item2.xml><?xml version="1.0" encoding="utf-8"?>
<p:properties xmlns:p="http://schemas.microsoft.com/office/2006/metadata/properties" xmlns:xsi="http://www.w3.org/2001/XMLSchema-instance" xmlns:pc="http://schemas.microsoft.com/office/infopath/2007/PartnerControls">
  <documentManagement>
    <_Status xmlns="http://schemas.microsoft.com/sharepoint/v3/fields">Not Started</_Status>
    <EC_Collab_DocumentLanguage xmlns="144c03d0-0f03-451f-9d46-5279004462a4">EN</EC_Collab_DocumentLanguage>
    <EC_Collab_Reference xmlns="144c03d0-0f03-451f-9d46-5279004462a4">-</EC_Collab_Reference>
    <EC_Collab_Status xmlns="144c03d0-0f03-451f-9d46-5279004462a4">Not Started</EC_Collab_Status>
    <lcf76f155ced4ddcb4097134ff3c332f xmlns="f7bb8512-91eb-4bfd-be42-d6f021407e9a">
      <Terms xmlns="http://schemas.microsoft.com/office/infopath/2007/PartnerControls">
        <TermInfo xmlns="http://schemas.microsoft.com/office/infopath/2007/PartnerControls">
          <TermName xmlns="http://schemas.microsoft.com/office/infopath/2007/PartnerControls"/>
          <TermId xmlns="http://schemas.microsoft.com/office/infopath/2007/PartnerControls"/>
        </TermInfo>
      </Terms>
    </lcf76f155ced4ddcb4097134ff3c332f>
    <TaxCatchAll xmlns="144c03d0-0f03-451f-9d46-5279004462a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EC Document" ma:contentTypeID="0x010100BAD999D84E12C74482EA5120F5227F6F00217DECAAC21D6B43958DFE68658C192E" ma:contentTypeVersion="27" ma:contentTypeDescription="Create a new document in this library." ma:contentTypeScope="" ma:versionID="e7e27166b6ddd379314dbc4ffb647a9d">
  <xsd:schema xmlns:xsd="http://www.w3.org/2001/XMLSchema" xmlns:xs="http://www.w3.org/2001/XMLSchema" xmlns:p="http://schemas.microsoft.com/office/2006/metadata/properties" xmlns:ns2="http://schemas.microsoft.com/sharepoint/v3/fields" xmlns:ns3="144c03d0-0f03-451f-9d46-5279004462a4" xmlns:ns4="f7bb8512-91eb-4bfd-be42-d6f021407e9a" targetNamespace="http://schemas.microsoft.com/office/2006/metadata/properties" ma:root="true" ma:fieldsID="6ba0d890b3d934a84d947fa41105d8de" ns2:_="" ns3:_="" ns4:_="">
    <xsd:import namespace="http://schemas.microsoft.com/sharepoint/v3/fields"/>
    <xsd:import namespace="144c03d0-0f03-451f-9d46-5279004462a4"/>
    <xsd:import namespace="f7bb8512-91eb-4bfd-be42-d6f021407e9a"/>
    <xsd:element name="properties">
      <xsd:complexType>
        <xsd:sequence>
          <xsd:element name="documentManagement">
            <xsd:complexType>
              <xsd:all>
                <xsd:element ref="ns3:EC_Collab_Reference" minOccurs="0"/>
                <xsd:element ref="ns2:_Status" minOccurs="0"/>
                <xsd:element ref="ns3:EC_Collab_DocumentLanguage"/>
                <xsd:element ref="ns3:SharedWithUsers" minOccurs="0"/>
                <xsd:element ref="ns3:SharedWithDetails" minOccurs="0"/>
                <xsd:element ref="ns3:EC_Collab_Status" minOccurs="0"/>
                <xsd:element ref="ns4:MediaServiceSearchProperties" minOccurs="0"/>
                <xsd:element ref="ns4:lcf76f155ced4ddcb4097134ff3c332f" minOccurs="0"/>
                <xsd:element ref="ns3:TaxCatchAll" minOccurs="0"/>
                <xsd:element ref="ns4:MediaServiceDateTaken"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3" nillable="true" ma:displayName="Status" ma:default="Not Started" ma:hidden="true" ma:internalName="_Status" ma:readOnly="false">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144c03d0-0f03-451f-9d46-5279004462a4" elementFormDefault="qualified">
    <xsd:import namespace="http://schemas.microsoft.com/office/2006/documentManagement/types"/>
    <xsd:import namespace="http://schemas.microsoft.com/office/infopath/2007/PartnerControls"/>
    <xsd:element name="EC_Collab_Reference" ma:index="12" nillable="true" ma:displayName="Reference" ma:internalName="EC_Collab_Reference" ma:readOnly="false">
      <xsd:simpleType>
        <xsd:restriction base="dms:Text"/>
      </xsd:simpleType>
    </xsd:element>
    <xsd:element name="EC_Collab_DocumentLanguage" ma:index="14" ma:displayName="Language" ma:default="EN" ma:format="Dropdown" ma:internalName="EC_Collab_DocumentLanguage" ma:readOnly="false">
      <xsd:simpleType>
        <xsd:restriction base="dms:Choice">
          <xsd:enumeration value="BG"/>
          <xsd:enumeration value="ES"/>
          <xsd:enumeration value="CS"/>
          <xsd:enumeration value="DA"/>
          <xsd:enumeration value="DE"/>
          <xsd:enumeration value="ET"/>
          <xsd:enumeration value="EL"/>
          <xsd:enumeration value="EN"/>
          <xsd:enumeration value="FR"/>
          <xsd:enumeration value="GA"/>
          <xsd:enumeration value="IT"/>
          <xsd:enumeration value="LT"/>
          <xsd:enumeration value="LV"/>
          <xsd:enumeration value="HU"/>
          <xsd:enumeration value="MT"/>
          <xsd:enumeration value="NL"/>
          <xsd:enumeration value="PL"/>
          <xsd:enumeration value="PT"/>
          <xsd:enumeration value="RO"/>
          <xsd:enumeration value="SK"/>
          <xsd:enumeration value="SL"/>
          <xsd:enumeration value="FI"/>
          <xsd:enumeration value="SV"/>
          <xsd:enumeration value="HR"/>
          <xsd:enumeration value="MK"/>
          <xsd:enumeration value="TR"/>
          <xsd:enumeration value="EU"/>
          <xsd:enumeration value="CA"/>
          <xsd:enumeration value="GL"/>
          <xsd:enumeration value="AB"/>
          <xsd:enumeration value="AA"/>
          <xsd:enumeration value="AF"/>
          <xsd:enumeration value="AK"/>
          <xsd:enumeration value="SQ"/>
          <xsd:enumeration value="AM"/>
          <xsd:enumeration value="AR"/>
          <xsd:enumeration value="AN"/>
          <xsd:enumeration value="HY"/>
          <xsd:enumeration value="AS"/>
          <xsd:enumeration value="AV"/>
          <xsd:enumeration value="AE"/>
          <xsd:enumeration value="AY"/>
          <xsd:enumeration value="AZ"/>
          <xsd:enumeration value="BM"/>
          <xsd:enumeration value="BA"/>
          <xsd:enumeration value="BE"/>
          <xsd:enumeration value="BN"/>
          <xsd:enumeration value="BH"/>
          <xsd:enumeration value="BI"/>
          <xsd:enumeration value="NB"/>
          <xsd:enumeration value="BS"/>
          <xsd:enumeration value="BR"/>
          <xsd:enumeration value="MY"/>
          <xsd:enumeration value="KM"/>
          <xsd:enumeration value="CH"/>
          <xsd:enumeration value="CE"/>
          <xsd:enumeration value="NY"/>
          <xsd:enumeration value="ZH"/>
          <xsd:enumeration value="CU"/>
          <xsd:enumeration value="CV"/>
          <xsd:enumeration value="KW"/>
          <xsd:enumeration value="CO"/>
          <xsd:enumeration value="CR"/>
          <xsd:enumeration value="DV"/>
          <xsd:enumeration value="DZ"/>
          <xsd:enumeration value="EO"/>
          <xsd:enumeration value="EE"/>
          <xsd:enumeration value="FO"/>
          <xsd:enumeration value="FJ"/>
          <xsd:enumeration value="FF"/>
          <xsd:enumeration value="GD"/>
          <xsd:enumeration value="LG"/>
          <xsd:enumeration value="KA"/>
          <xsd:enumeration value="GN"/>
          <xsd:enumeration value="GU"/>
          <xsd:enumeration value="HT"/>
          <xsd:enumeration value="HA"/>
          <xsd:enumeration value="HE"/>
          <xsd:enumeration value="HZ"/>
          <xsd:enumeration value="HI"/>
          <xsd:enumeration value="HO"/>
          <xsd:enumeration value="IS"/>
          <xsd:enumeration value="IO"/>
          <xsd:enumeration value="IG"/>
          <xsd:enumeration value="ID"/>
          <xsd:enumeration value="IA"/>
          <xsd:enumeration value="IE"/>
          <xsd:enumeration value="IU"/>
          <xsd:enumeration value="IK"/>
          <xsd:enumeration value="JA"/>
          <xsd:enumeration value="JV"/>
          <xsd:enumeration value="KL"/>
          <xsd:enumeration value="KN"/>
          <xsd:enumeration value="KR"/>
          <xsd:enumeration value="KS"/>
          <xsd:enumeration value="KK"/>
          <xsd:enumeration value="KI"/>
          <xsd:enumeration value="RW"/>
          <xsd:enumeration value="KY"/>
          <xsd:enumeration value="KV"/>
          <xsd:enumeration value="KG"/>
          <xsd:enumeration value="KO"/>
          <xsd:enumeration value="KJ"/>
          <xsd:enumeration value="KU"/>
          <xsd:enumeration value="LO"/>
          <xsd:enumeration value="LA"/>
          <xsd:enumeration value="LI"/>
          <xsd:enumeration value="LN"/>
          <xsd:enumeration value="LU"/>
          <xsd:enumeration value="LB"/>
          <xsd:enumeration value="MG"/>
          <xsd:enumeration value="MS"/>
          <xsd:enumeration value="ML"/>
          <xsd:enumeration value="GV"/>
          <xsd:enumeration value="MI"/>
          <xsd:enumeration value="MR"/>
          <xsd:enumeration value="MH"/>
          <xsd:enumeration value="MN"/>
          <xsd:enumeration value="NA"/>
          <xsd:enumeration value="NV"/>
          <xsd:enumeration value="ND"/>
          <xsd:enumeration value="NR"/>
          <xsd:enumeration value="NG"/>
          <xsd:enumeration value="NE"/>
          <xsd:enumeration value="SE"/>
          <xsd:enumeration value="NO"/>
          <xsd:enumeration value="NN"/>
          <xsd:enumeration value="OC"/>
          <xsd:enumeration value="OJ"/>
          <xsd:enumeration value="OR"/>
          <xsd:enumeration value="OM"/>
          <xsd:enumeration value="OS"/>
          <xsd:enumeration value="PI"/>
          <xsd:enumeration value="PA"/>
          <xsd:enumeration value="FA"/>
          <xsd:enumeration value="PS"/>
          <xsd:enumeration value="QU"/>
          <xsd:enumeration value="RM"/>
          <xsd:enumeration value="RN"/>
          <xsd:enumeration value="RU"/>
          <xsd:enumeration value="SM"/>
          <xsd:enumeration value="SG"/>
          <xsd:enumeration value="SA"/>
          <xsd:enumeration value="SC"/>
          <xsd:enumeration value="SR"/>
          <xsd:enumeration value="SN"/>
          <xsd:enumeration value="II"/>
          <xsd:enumeration value="SD"/>
          <xsd:enumeration value="SI"/>
          <xsd:enumeration value="SO"/>
          <xsd:enumeration value="ST"/>
          <xsd:enumeration value="SU"/>
          <xsd:enumeration value="SW"/>
          <xsd:enumeration value="SS"/>
          <xsd:enumeration value="TL"/>
          <xsd:enumeration value="TY"/>
          <xsd:enumeration value="TG"/>
          <xsd:enumeration value="TA"/>
          <xsd:enumeration value="TT"/>
          <xsd:enumeration value="TE"/>
          <xsd:enumeration value="TH"/>
          <xsd:enumeration value="BO"/>
          <xsd:enumeration value="TI"/>
          <xsd:enumeration value="TO"/>
          <xsd:enumeration value="TS"/>
          <xsd:enumeration value="TN"/>
          <xsd:enumeration value="TK"/>
          <xsd:enumeration value="TW"/>
          <xsd:enumeration value="UG"/>
          <xsd:enumeration value="UK"/>
          <xsd:enumeration value="UR"/>
          <xsd:enumeration value="UZ"/>
          <xsd:enumeration value="VE"/>
          <xsd:enumeration value="VI"/>
          <xsd:enumeration value="VO"/>
          <xsd:enumeration value="WA"/>
          <xsd:enumeration value="CY"/>
          <xsd:enumeration value="FY"/>
          <xsd:enumeration value="WO"/>
          <xsd:enumeration value="XH"/>
          <xsd:enumeration value="YI"/>
          <xsd:enumeration value="YO"/>
          <xsd:enumeration value="ZA"/>
          <xsd:enumeration value="ZU"/>
        </xsd:restrictio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EC_Collab_Status" ma:index="17" nillable="true" ma:displayName="EC Status" ma:default="Not Started" ma:format="Dropdown" ma:internalName="EC_Collab_Status" ma:readOnly="false">
      <xsd:simpleType>
        <xsd:restriction base="dms:Choice">
          <xsd:enumeration value="Not Started"/>
          <xsd:enumeration value="Draft"/>
          <xsd:enumeration value="Reviewed"/>
          <xsd:enumeration value="Scheduled"/>
          <xsd:enumeration value="Published"/>
          <xsd:enumeration value="Final"/>
          <xsd:enumeration value="Expired"/>
        </xsd:restriction>
      </xsd:simpleType>
    </xsd:element>
    <xsd:element name="TaxCatchAll" ma:index="21" nillable="true" ma:displayName="Taxonomy Catch All Column" ma:hidden="true" ma:list="{51513471-611d-4aba-ae12-e8d0e877eea6}" ma:internalName="TaxCatchAll" ma:showField="CatchAllData" ma:web="144c03d0-0f03-451f-9d46-5279004462a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bb8512-91eb-4bfd-be42-d6f021407e9a" elementFormDefault="qualified">
    <xsd:import namespace="http://schemas.microsoft.com/office/2006/documentManagement/types"/>
    <xsd:import namespace="http://schemas.microsoft.com/office/infopath/2007/PartnerControls"/>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2b2fad6-9d2c-441c-a321-3f5f1e9bd928"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EventHashCode" ma:index="2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9"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ma:index="8" ma:displayName="Subject"/>
        <xsd:element ref="dc:description" minOccurs="0" maxOccurs="1" ma:index="11" ma:displayName="Comments"/>
        <xsd:element name="keywords" minOccurs="0" maxOccurs="1" type="xsd:string" ma:index="1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682B756-8B1E-462D-B6A3-690F5E361A3A}">
  <ds:schemaRefs>
    <ds:schemaRef ds:uri="http://schemas.openxmlformats.org/officeDocument/2006/bibliography"/>
  </ds:schemaRefs>
</ds:datastoreItem>
</file>

<file path=customXml/itemProps2.xml><?xml version="1.0" encoding="utf-8"?>
<ds:datastoreItem xmlns:ds="http://schemas.openxmlformats.org/officeDocument/2006/customXml" ds:itemID="{7E76EBF7-F196-432E-AEDA-227F6AF37315}">
  <ds:schemaRefs>
    <ds:schemaRef ds:uri="http://purl.org/dc/dcmitype/"/>
    <ds:schemaRef ds:uri="http://schemas.microsoft.com/office/2006/metadata/properties"/>
    <ds:schemaRef ds:uri="http://purl.org/dc/elements/1.1/"/>
    <ds:schemaRef ds:uri="http://www.w3.org/XML/1998/namespace"/>
    <ds:schemaRef ds:uri="144c03d0-0f03-451f-9d46-5279004462a4"/>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f7bb8512-91eb-4bfd-be42-d6f021407e9a"/>
    <ds:schemaRef ds:uri="http://schemas.microsoft.com/sharepoint/v3/fields"/>
  </ds:schemaRefs>
</ds:datastoreItem>
</file>

<file path=customXml/itemProps3.xml><?xml version="1.0" encoding="utf-8"?>
<ds:datastoreItem xmlns:ds="http://schemas.openxmlformats.org/officeDocument/2006/customXml" ds:itemID="{4C6E049F-11B2-4175-8A33-0807E45F38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144c03d0-0f03-451f-9d46-5279004462a4"/>
    <ds:schemaRef ds:uri="f7bb8512-91eb-4bfd-be42-d6f021407e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7B27EB8-2286-4877-A64E-E80E2E9B05B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COM</Template>
  <TotalTime>2</TotalTime>
  <Pages>4</Pages>
  <Words>961</Words>
  <Characters>5538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6479</CharactersWithSpaces>
  <SharedDoc>false</SharedDoc>
  <HLinks>
    <vt:vector size="12" baseType="variant">
      <vt:variant>
        <vt:i4>5308517</vt:i4>
      </vt:variant>
      <vt:variant>
        <vt:i4>3</vt:i4>
      </vt:variant>
      <vt:variant>
        <vt:i4>0</vt:i4>
      </vt:variant>
      <vt:variant>
        <vt:i4>5</vt:i4>
      </vt:variant>
      <vt:variant>
        <vt:lpwstr>http://data.europa.eu/eli/reg_del/2014/1062/oj</vt:lpwstr>
      </vt:variant>
      <vt:variant>
        <vt:lpwstr/>
      </vt:variant>
      <vt:variant>
        <vt:i4>5046301</vt:i4>
      </vt:variant>
      <vt:variant>
        <vt:i4>0</vt:i4>
      </vt:variant>
      <vt:variant>
        <vt:i4>0</vt:i4>
      </vt:variant>
      <vt:variant>
        <vt:i4>5</vt:i4>
      </vt:variant>
      <vt:variant>
        <vt:lpwstr>http://data.europa.eu/eli/reg/2012/528/oj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c:subject>
  <dc:creator>NEGULICI Ligia (SANTE)</dc:creator>
  <cp:keywords/>
  <dc:description/>
  <cp:lastModifiedBy>DOLHA Elena Adriana (SANTE)</cp:lastModifiedBy>
  <cp:revision>6</cp:revision>
  <dcterms:created xsi:type="dcterms:W3CDTF">2026-03-25T15:23:00Z</dcterms:created>
  <dcterms:modified xsi:type="dcterms:W3CDTF">2026-03-25T15:25:00Z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
    <vt:lpwstr>COM/AA</vt:lpwstr>
  </property>
  <property fmtid="{D5CDD505-2E9C-101B-9397-08002B2CF9AE}" pid="3" name="Version">
    <vt:lpwstr>7.0.8.0</vt:lpwstr>
  </property>
  <property fmtid="{D5CDD505-2E9C-101B-9397-08002B2CF9AE}" pid="4" name="Last edited using">
    <vt:lpwstr>LW 9.2, Build 20250828</vt:lpwstr>
  </property>
  <property fmtid="{D5CDD505-2E9C-101B-9397-08002B2CF9AE}" pid="5" name="Created using">
    <vt:lpwstr>LW 7.0, Build 20190717</vt:lpwstr>
  </property>
  <property fmtid="{D5CDD505-2E9C-101B-9397-08002B2CF9AE}" pid="6" name="Part">
    <vt:lpwstr>1</vt:lpwstr>
  </property>
  <property fmtid="{D5CDD505-2E9C-101B-9397-08002B2CF9AE}" pid="7" name="Total parts">
    <vt:lpwstr>1</vt:lpwstr>
  </property>
  <property fmtid="{D5CDD505-2E9C-101B-9397-08002B2CF9AE}" pid="8" name="Level of sensitivity">
    <vt:lpwstr>Standard treatment</vt:lpwstr>
  </property>
  <property fmtid="{D5CDD505-2E9C-101B-9397-08002B2CF9AE}" pid="9" name="LWTemplateID">
    <vt:lpwstr>SJ-009</vt:lpwstr>
  </property>
  <property fmtid="{D5CDD505-2E9C-101B-9397-08002B2CF9AE}" pid="10" name="MSIP_Label_6bd9ddd1-4d20-43f6-abfa-fc3c07406f94_Enabled">
    <vt:lpwstr>true</vt:lpwstr>
  </property>
  <property fmtid="{D5CDD505-2E9C-101B-9397-08002B2CF9AE}" pid="11" name="MSIP_Label_6bd9ddd1-4d20-43f6-abfa-fc3c07406f94_SetDate">
    <vt:lpwstr>2022-09-20T12:40:30Z</vt:lpwstr>
  </property>
  <property fmtid="{D5CDD505-2E9C-101B-9397-08002B2CF9AE}" pid="12" name="MSIP_Label_6bd9ddd1-4d20-43f6-abfa-fc3c07406f94_Method">
    <vt:lpwstr>Standard</vt:lpwstr>
  </property>
  <property fmtid="{D5CDD505-2E9C-101B-9397-08002B2CF9AE}" pid="13" name="MSIP_Label_6bd9ddd1-4d20-43f6-abfa-fc3c07406f94_Name">
    <vt:lpwstr>Commission Use</vt:lpwstr>
  </property>
  <property fmtid="{D5CDD505-2E9C-101B-9397-08002B2CF9AE}" pid="14" name="MSIP_Label_6bd9ddd1-4d20-43f6-abfa-fc3c07406f94_SiteId">
    <vt:lpwstr>b24c8b06-522c-46fe-9080-70926f8dddb1</vt:lpwstr>
  </property>
  <property fmtid="{D5CDD505-2E9C-101B-9397-08002B2CF9AE}" pid="15" name="MSIP_Label_6bd9ddd1-4d20-43f6-abfa-fc3c07406f94_ActionId">
    <vt:lpwstr>26c034b4-e67c-4c71-bba8-bd4a97680510</vt:lpwstr>
  </property>
  <property fmtid="{D5CDD505-2E9C-101B-9397-08002B2CF9AE}" pid="16" name="MSIP_Label_6bd9ddd1-4d20-43f6-abfa-fc3c07406f94_ContentBits">
    <vt:lpwstr>0</vt:lpwstr>
  </property>
  <property fmtid="{D5CDD505-2E9C-101B-9397-08002B2CF9AE}" pid="17" name="ContentTypeId">
    <vt:lpwstr>0x010100BAD999D84E12C74482EA5120F5227F6F00217DECAAC21D6B43958DFE68658C192E</vt:lpwstr>
  </property>
  <property fmtid="{D5CDD505-2E9C-101B-9397-08002B2CF9AE}" pid="18" name="_CopySource">
    <vt:lpwstr>241-EN CIS_Extension Biobor NL.docx</vt:lpwstr>
  </property>
  <property fmtid="{D5CDD505-2E9C-101B-9397-08002B2CF9AE}" pid="19" name="MediaServiceImageTags">
    <vt:lpwstr/>
  </property>
  <property fmtid="{D5CDD505-2E9C-101B-9397-08002B2CF9AE}" pid="20" name="DQCStatus">
    <vt:lpwstr>Green (DQC version 03)</vt:lpwstr>
  </property>
</Properties>
</file>